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shd w:val="clear" w:color="auto" w:fill="FDE9D9"/>
        <w:rPr/>
      </w:pPr>
      <w:r>
        <w:rPr/>
        <w:t>U z a s a d n i e n i e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</w:rPr>
        <w:t>do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projektu </w:t>
      </w:r>
      <w:r>
        <w:rPr>
          <w:rFonts w:ascii="Calibri" w:hAnsi="Calibri"/>
          <w:b/>
          <w:color w:val="000000"/>
        </w:rPr>
        <w:t>miejscowego planu zagospodarowania przestrzennego</w:t>
      </w:r>
    </w:p>
    <w:p>
      <w:pPr>
        <w:pStyle w:val="Normal"/>
        <w:ind w:left="10" w:right="2" w:hanging="10"/>
        <w:jc w:val="center"/>
        <w:rPr>
          <w:rFonts w:ascii="Calibri" w:hAnsi="Calibri"/>
          <w:b/>
          <w:b/>
          <w:color w:val="000000"/>
        </w:rPr>
      </w:pPr>
      <w:r>
        <w:rPr>
          <w:rFonts w:ascii="Calibri" w:hAnsi="Calibri"/>
          <w:b/>
          <w:color w:val="000000"/>
        </w:rPr>
        <w:t>w obrębie miejscowości Przerzeczyn - Zdrój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Wcicietrecitekstu"/>
        <w:spacing w:lineRule="auto" w:line="240"/>
        <w:ind w:firstLine="709"/>
        <w:rPr>
          <w:rFonts w:ascii="Calibri" w:hAnsi="Calibri"/>
        </w:rPr>
      </w:pPr>
      <w:r>
        <w:rPr>
          <w:rFonts w:ascii="Calibri" w:hAnsi="Calibri"/>
        </w:rPr>
        <w:t>Działając na podstawie art.15 ust. 1 ustawy z dnia 27 marca 2003 r. o planowaniu i zagospodarowaniu przestrzennym (j.t.D.U.2021.741 ze zm.), po przeanalizowaniu ustaleń w/w projektu planu miejscowego należy stwierdzić, że dokument zawiera następujące propozycje rozstrzygnięć:</w:t>
      </w:r>
    </w:p>
    <w:p>
      <w:pPr>
        <w:pStyle w:val="Wcicietrecitekstu"/>
        <w:spacing w:lineRule="auto" w:line="240"/>
        <w:ind w:firstLine="709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</w:p>
    <w:p>
      <w:pPr>
        <w:pStyle w:val="Normal"/>
        <w:spacing w:lineRule="auto" w:line="360"/>
        <w:jc w:val="both"/>
        <w:rPr>
          <w:rFonts w:ascii="Calibri" w:hAnsi="Calibri"/>
        </w:rPr>
      </w:pPr>
      <w:r>
        <w:rPr>
          <w:rFonts w:ascii="Calibri" w:hAnsi="Calibri"/>
          <w:b/>
          <w:sz w:val="28"/>
          <w:szCs w:val="28"/>
        </w:rPr>
        <w:t>A.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</w:rPr>
        <w:tab/>
        <w:t xml:space="preserve">W zakresie sposobu realizacji wymogów, o których mowa w </w:t>
      </w:r>
      <w:r>
        <w:rPr>
          <w:rFonts w:ascii="Calibri" w:hAnsi="Calibri"/>
          <w:b/>
        </w:rPr>
        <w:t>art. 1 ust. 2</w:t>
      </w:r>
      <w:r>
        <w:rPr>
          <w:rFonts w:ascii="Calibri" w:hAnsi="Calibri"/>
        </w:rPr>
        <w:t xml:space="preserve"> ustawy: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  <w:t xml:space="preserve">ładu przestrzennego, w tym urbanistyki i architektury </w:t>
      </w:r>
    </w:p>
    <w:p>
      <w:pPr>
        <w:pStyle w:val="Normal"/>
        <w:ind w:left="420" w:hanging="0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ind w:left="360" w:hanging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1. </w:t>
        <w:tab/>
        <w:t xml:space="preserve">Dla przedmiotowego obszaru, objętego granicami opracowania obowiązuje dotychczas miejscowy plan zagospodarowania przestrzennego przyjęty uchwałą nr XXIII/123/12 Rady Miejskiej w Niemczy z dnia 26 października 2012 r. w sprawie uchwalenia miejscowego planu zagospodarowania przestrzennego wsi Przerzeczyn Zdrój (publ. Dz. Urz. Woj. Doln. z 2013 r. poz. 74), jednakże ze względu na postulowane zmiany w przeznaczeniu należało wprowadzić stosownie do propozycji zawartych w niniejszym opracowaniu. Aby stało się zadość ogólnym zasadom ochrony ładu przestrzennego oraz wymogom zrównoważonego rozwoju, szczególną rolą opracowania jest powiązanie przedmiotowego obszaru z otoczeniem, zarówno prawnym jak też faktycznym i przestrzennym i tak też zaproponowano w przedkładanym projekcie.   </w:t>
      </w:r>
    </w:p>
    <w:p>
      <w:pPr>
        <w:pStyle w:val="Normal"/>
        <w:ind w:left="360" w:hanging="36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left="360" w:hanging="360"/>
        <w:jc w:val="both"/>
        <w:rPr>
          <w:rFonts w:ascii="Calibri" w:hAnsi="Calibri"/>
        </w:rPr>
      </w:pPr>
      <w:r>
        <w:rPr>
          <w:rFonts w:ascii="Calibri" w:hAnsi="Calibri"/>
        </w:rPr>
        <w:t>2.</w:t>
        <w:tab/>
        <w:t>Rozwiązania przyjęte w przedmiotowym planie miejscowym zapewniają właściwe zagospodarowanie terenów oraz ład urbanistyczny i architektoniczny, w tym określenie przeznaczenia terenów i zasad kształtowania nowych obiektów w sposób wzajemnie zharmonizowany.</w:t>
      </w:r>
    </w:p>
    <w:p>
      <w:pPr>
        <w:pStyle w:val="Normal"/>
        <w:ind w:left="360" w:hanging="36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Indent2"/>
        <w:ind w:left="360" w:hanging="360"/>
        <w:rPr>
          <w:rFonts w:ascii="Calibri" w:hAnsi="Calibri"/>
        </w:rPr>
      </w:pPr>
      <w:r>
        <w:rPr>
          <w:rFonts w:ascii="Calibri" w:hAnsi="Calibri"/>
        </w:rPr>
        <w:t>3.</w:t>
        <w:tab/>
        <w:t xml:space="preserve">W celu ochrony i kształtowania ładu przestrzennego, stosownie do definicji zawartej w art.2 pkt 10 ustawy o p.z.p., w której mowa jest o takim ukształtowaniu przestrzeni, które tworzy harmonijną całość oraz uwzględnia, prócz innych elementów – także </w:t>
      </w:r>
      <w:r>
        <w:rPr>
          <w:rFonts w:ascii="Calibri" w:hAnsi="Calibri"/>
          <w:u w:val="single"/>
        </w:rPr>
        <w:t>wymagania kompozycyjno – estetyczne,</w:t>
      </w:r>
      <w:r>
        <w:rPr>
          <w:rFonts w:ascii="Calibri" w:hAnsi="Calibri"/>
        </w:rPr>
        <w:t xml:space="preserve"> ze względu na specyficzny cel opracowania – jedynie w stopniu niezbędnym określone zostały wymogi.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  <w:t>walorów architektonicznych i krajobrazowych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426" w:leader="none"/>
        </w:tabs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t>Projekt planu miejscowego zapewnia przede wszystkim integrację wszelkich niezbędnych działań podejmowanych w granicach obszaru a także przyległych  w celu: zapewnienia bezpieczeństwa powszechnego a także wymagań ochrony środowiska, w tym obiektów budowlanych. Stosownie do wymaganego zakresu wprowadzono do ustaleń wskaźniki i parametry dla nowej zabudowy na terenie MNU tak, stanowiły kontynuację istniejącego pasma osadniczego wsi Nowa Wieś Niemczańska, przyległego bezpośrednio do granicy obszaru objętego opracowaniem.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426" w:leader="none"/>
        </w:tabs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t>Ze względu na położenie w granicach strefy „C: ochrony uzdrowiskowej, plan miejscowy zapewnia niezbędne powierzchnie terenów zielonych i biologicznie czynnych.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  <w:t>ochrona środowiska, w tym gospodarowanie wodami i ochrona gruntów rolnych</w:t>
      </w:r>
    </w:p>
    <w:p>
      <w:pPr>
        <w:pStyle w:val="Normal"/>
        <w:ind w:left="420" w:hanging="0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numPr>
          <w:ilvl w:val="1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W ustaleniach  planu miejscowego  ochronę tę uwzględniają i zapewniają ustalenia dotyczące: </w:t>
      </w:r>
    </w:p>
    <w:p>
      <w:pPr>
        <w:pStyle w:val="Normal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zakazu odprowadzania wód opadowych z terenów utwardzonych w sposób pogarszający stan gleb oraz wód powierzchniowych i podziemnych;</w:t>
      </w:r>
    </w:p>
    <w:p>
      <w:pPr>
        <w:pStyle w:val="Normal"/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nakazu wyposażenia terenów przeznaczonych do zabudowy w sieci i urządzenia infrastruktury technicznej dla odprowadzania lub gromadzenia ścieków oraz ich oczyszczania;</w:t>
      </w:r>
    </w:p>
    <w:p>
      <w:pPr>
        <w:pStyle w:val="Normal"/>
        <w:ind w:left="720" w:hanging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4) </w:t>
        <w:tab/>
        <w:t>nakazu odbioru i gromadzenia odpadów w systemie zorganizowanym, przy stosowaniu na całym obszarze jednolitych zasad - zgodnie z obowiązującymi przepisami o odpadach - w tym obowiązkiem ich wstępnej segregacji;</w:t>
      </w:r>
    </w:p>
    <w:p>
      <w:pPr>
        <w:pStyle w:val="Normal"/>
        <w:ind w:left="720" w:hanging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5) </w:t>
        <w:tab/>
        <w:t>zakazu budowy nowych obiektów kubaturowych poza terenami przeznaczonymi w planie na cele inwestycyjne;</w:t>
      </w:r>
    </w:p>
    <w:p>
      <w:pPr>
        <w:pStyle w:val="Normal"/>
        <w:ind w:left="720" w:hanging="360"/>
        <w:jc w:val="both"/>
        <w:rPr>
          <w:rFonts w:ascii="Calibri" w:hAnsi="Calibri"/>
        </w:rPr>
      </w:pPr>
      <w:r>
        <w:rPr>
          <w:rFonts w:ascii="Calibri" w:hAnsi="Calibri"/>
        </w:rPr>
        <w:t>6)</w:t>
        <w:tab/>
        <w:t>wprowadzenia zakazu zabudowy oraz zadrzewień wzdłuż istniejącego wzdłuż granicy półn-zach. rowu;</w:t>
      </w:r>
    </w:p>
    <w:p>
      <w:pPr>
        <w:pStyle w:val="Normal"/>
        <w:ind w:left="720" w:hanging="360"/>
        <w:jc w:val="both"/>
        <w:rPr>
          <w:rFonts w:ascii="Calibri" w:hAnsi="Calibri"/>
        </w:rPr>
      </w:pPr>
      <w:r>
        <w:rPr>
          <w:rFonts w:ascii="Calibri" w:hAnsi="Calibri"/>
        </w:rPr>
        <w:t>7)</w:t>
        <w:tab/>
        <w:t>poszanowanie wymagań, ustalonych w decyzji właściwego organu w zakresie ochrony bezpośredniej istniejącego ujęcia wody,</w:t>
      </w:r>
    </w:p>
    <w:p>
      <w:pPr>
        <w:pStyle w:val="Normal"/>
        <w:ind w:left="360" w:hanging="0"/>
        <w:jc w:val="both"/>
        <w:rPr>
          <w:rFonts w:ascii="Calibri" w:hAnsi="Calibri"/>
        </w:rPr>
      </w:pPr>
      <w:r>
        <w:rPr>
          <w:rFonts w:ascii="Calibri" w:hAnsi="Calibri"/>
        </w:rPr>
        <w:t>oraz obowiązku dostosowania się wszelkich działań inwestycyjnych do przepisów odrębnych z zakresu ochrony środowiska.</w:t>
      </w:r>
    </w:p>
    <w:p>
      <w:pPr>
        <w:pStyle w:val="Normal"/>
        <w:ind w:left="360" w:hanging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left="360" w:hanging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2. </w:t>
        <w:tab/>
        <w:t>Zapisy planu miejscowego ustalają wyposażenie terenu przeznaczonego do zainwestowania w niezbędną infrastrukturę techniczną.</w:t>
      </w:r>
    </w:p>
    <w:p>
      <w:pPr>
        <w:pStyle w:val="Normal"/>
        <w:ind w:left="360" w:hanging="36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left="360" w:hanging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3. </w:t>
        <w:tab/>
        <w:t>Ustalenia planu miejscowego optymalnie rozwiązują i zabezpieczają gospodarkę wodami oraz służą przeciwdziałaniu niekontrolowanemu przenikaniu do gruntów wód nieczyszczonych.</w:t>
      </w:r>
    </w:p>
    <w:p>
      <w:pPr>
        <w:pStyle w:val="Normal"/>
        <w:ind w:left="360" w:hanging="36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left="360" w:hanging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4. </w:t>
        <w:tab/>
        <w:t xml:space="preserve">Analiza klas gruntów rolnych wykazała, że w obrębie niniejszego planu miejscowego wprawdzie występują grunty rolne klasy IV bonitacyjnej, stąd brak konieczności uzyskiwania stosownej zgody Ministra Rolnictwa na zmianę przeznaczenia gruntów rolnych na cele nierolnicze.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1"/>
          <w:numId w:val="5"/>
        </w:numPr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  <w:t>ochrona dziedzictwa kulturowego i zabytków oraz dóbr kultury współczesnej</w:t>
      </w:r>
    </w:p>
    <w:p>
      <w:pPr>
        <w:pStyle w:val="Normal"/>
        <w:ind w:left="720" w:hanging="0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ind w:firstLine="360"/>
        <w:jc w:val="both"/>
        <w:rPr>
          <w:rFonts w:ascii="Calibri" w:hAnsi="Calibri"/>
        </w:rPr>
      </w:pPr>
      <w:r>
        <w:rPr>
          <w:rFonts w:ascii="Calibri" w:hAnsi="Calibri"/>
        </w:rPr>
        <w:t>W granicach opracowania planu miejscowego nie występują obiekty i obszary podlegające ochronie z mocy prawa.  Wszelkie ewentualnie potwierdzone znaleziska podlegają ochronie z mocy przepisów powszechnie obowiązujących.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1"/>
          <w:numId w:val="6"/>
        </w:numPr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  <w:t>ochrona zdrowia oraz bezpieczeństwa ludzi i mienia, a także potrzeb osób niepełnosprawnych</w:t>
      </w:r>
    </w:p>
    <w:p>
      <w:pPr>
        <w:pStyle w:val="Normal"/>
        <w:ind w:left="720" w:hanging="0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agwek3"/>
        <w:numPr>
          <w:ilvl w:val="0"/>
          <w:numId w:val="0"/>
        </w:numPr>
        <w:tabs>
          <w:tab w:val="left" w:pos="708" w:leader="none"/>
        </w:tabs>
        <w:snapToGrid w:val="false"/>
        <w:ind w:left="360" w:hanging="360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4"/>
        </w:rPr>
        <w:t>1.</w:t>
        <w:tab/>
        <w:t xml:space="preserve">Planowane ograniczenie ilości negatywnych emitorów do środowiska uzyskano poprzez ustalenie następujących nakazów i zakazów dotyczących m.in. </w:t>
      </w:r>
      <w:r>
        <w:rPr>
          <w:rFonts w:ascii="Calibri" w:hAnsi="Calibri"/>
          <w:sz w:val="24"/>
          <w:szCs w:val="28"/>
        </w:rPr>
        <w:t>stosowania rozwiązań i urządzeń opartych wyłącznie o ekologiczne (z wyłączeniem paliw stałych w postaci węgla kamiennego, brunatnego i koksu), odnawialne i niekonwencjonalne źródła energii, z wyłączeniem turbin wiatrowych.</w:t>
      </w:r>
    </w:p>
    <w:p>
      <w:pPr>
        <w:pStyle w:val="Gwka"/>
        <w:tabs>
          <w:tab w:val="clear" w:pos="4536"/>
          <w:tab w:val="clear" w:pos="9072"/>
        </w:tabs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agwek2"/>
        <w:numPr>
          <w:ilvl w:val="0"/>
          <w:numId w:val="0"/>
        </w:numPr>
        <w:tabs>
          <w:tab w:val="left" w:pos="708" w:leader="none"/>
        </w:tabs>
        <w:ind w:left="360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2.</w:t>
        <w:tab/>
        <w:t>Zapewnienie bezpieczeństwa ludzi i mienia ustalono poprzez określenie wymogów dotyczących dostępności z dróg publicznych, przyjęcia rozwiązań gwarantujących przyłączenie do istniejącej infrastruktury technicznej, itp.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080" w:leader="none"/>
        </w:tabs>
        <w:ind w:left="1080" w:hanging="360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  <w:t>walorów ekonomicznych przestrzeni</w:t>
      </w:r>
    </w:p>
    <w:p>
      <w:pPr>
        <w:pStyle w:val="Normal"/>
        <w:ind w:left="360" w:hanging="0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Ustalenia przedmiotowego planu miejscowego mają ewidentny wpływ na podniesienie walorów ekonomicznych przestrzeni poprzez bezpośrednie powiązanie przestrzeni istniejącej struktury zurbanizowanej z przestrzenią planowanego rozwoju terenów inwestycyjnych, jak i w aspekcie powiązań  komunikacyjnych i infrastrukturalnych. Wyznaczone tereny zielone oddzielające istniejące i planowane obiekty i urządzenia związane z ujęciem wody korzystnie wpłyną na potencjalne walory wyznaczonych terenów mieszkalno - usługowych.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1"/>
          <w:numId w:val="8"/>
        </w:numPr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  <w:t>prawo własności</w:t>
      </w:r>
    </w:p>
    <w:p>
      <w:pPr>
        <w:pStyle w:val="Normal"/>
        <w:ind w:left="720" w:hanging="0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Po szczegółowej analizie stanu własności należy stwierdzić, że plan miejscowy w pełni zachowuje stan dotychczasowy, nie notuje się ingerencji w stosunki własnościowe w sposób ponadnormatywny – obszar objęty planem stanowi własność komunalną gminy, który w przyszłości może być potencjalnym źródłem dochodu.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1"/>
          <w:numId w:val="9"/>
        </w:numPr>
        <w:tabs>
          <w:tab w:val="clear" w:pos="708"/>
          <w:tab w:val="left" w:pos="1080" w:leader="none"/>
        </w:tabs>
        <w:ind w:left="1440" w:hanging="720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  <w:t xml:space="preserve">potrzeby obronności i bezpieczeństwa państwa  </w:t>
      </w:r>
    </w:p>
    <w:p>
      <w:pPr>
        <w:pStyle w:val="Normal"/>
        <w:tabs>
          <w:tab w:val="clear" w:pos="708"/>
          <w:tab w:val="left" w:pos="1080" w:leader="none"/>
        </w:tabs>
        <w:ind w:left="1080" w:hanging="720"/>
        <w:jc w:val="both"/>
        <w:rPr>
          <w:rFonts w:ascii="Calibri" w:hAnsi="Calibri"/>
          <w:i/>
          <w:i/>
        </w:rPr>
      </w:pPr>
      <w:r>
        <w:rPr>
          <w:rFonts w:ascii="Calibri" w:hAnsi="Calibri"/>
          <w:i/>
        </w:rPr>
        <w:t>nie występują</w:t>
      </w:r>
    </w:p>
    <w:p>
      <w:pPr>
        <w:pStyle w:val="Normal"/>
        <w:tabs>
          <w:tab w:val="clear" w:pos="708"/>
          <w:tab w:val="left" w:pos="1080" w:leader="none"/>
        </w:tabs>
        <w:ind w:hanging="72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1"/>
          <w:numId w:val="9"/>
        </w:numPr>
        <w:tabs>
          <w:tab w:val="clear" w:pos="708"/>
          <w:tab w:val="left" w:pos="1080" w:leader="none"/>
        </w:tabs>
        <w:ind w:left="1440" w:hanging="720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  <w:t>potrzeby interesu publicznego</w:t>
      </w:r>
    </w:p>
    <w:p>
      <w:pPr>
        <w:pStyle w:val="Normal"/>
        <w:ind w:left="1080" w:hanging="0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ind w:firstLine="425"/>
        <w:jc w:val="both"/>
        <w:rPr>
          <w:rFonts w:ascii="Calibri" w:hAnsi="Calibri"/>
        </w:rPr>
      </w:pPr>
      <w:r>
        <w:rPr>
          <w:rFonts w:ascii="Calibri" w:hAnsi="Calibri"/>
        </w:rPr>
        <w:t xml:space="preserve">Zgodnie z wymogami ustawowymi ład przestrzenny i zrównoważony rozwój stanowią podstawę określania zasad kształtowania polityki przestrzennej oraz kierunki kształtowania polityki przestrzennej i zasad jej realizacji, jako podstawowy kierunek działania wskazując ochronę interesu publicznego, w tym przeciwdziałanie zawłaszczaniu przestrzeni publicznej i troskę o przestrzenie publiczne. W publikacjach podkreśla się również, że: </w:t>
      </w:r>
      <w:r>
        <w:rPr>
          <w:rFonts w:ascii="Calibri" w:hAnsi="Calibri"/>
          <w:i/>
        </w:rPr>
        <w:t>"Interes publiczny obejmuje również eliminowanie strat ekonomicznych, zwłaszcza ryzyka nieuzasadnionego marnotrawienia przestrzeni i nieracjonalnego zużycia zasobów środowiska, co winno być gwarantowane poprzez respektowanie szeroko rozumianego ładu przestrzennego jako atrybutu konstytucyjnie gwarantowanego rozwoju zrównoważonego"</w:t>
      </w:r>
      <w:r>
        <w:rPr>
          <w:rFonts w:ascii="Calibri" w:hAnsi="Calibri"/>
        </w:rPr>
        <w:t>.</w:t>
      </w:r>
    </w:p>
    <w:p>
      <w:pPr>
        <w:pStyle w:val="Normal"/>
        <w:ind w:firstLine="425"/>
        <w:jc w:val="both"/>
        <w:rPr>
          <w:rFonts w:ascii="Calibri" w:hAnsi="Calibri"/>
        </w:rPr>
      </w:pPr>
      <w:r>
        <w:rPr>
          <w:rFonts w:ascii="Calibri" w:hAnsi="Calibri"/>
        </w:rPr>
        <w:t>Kategoria interesu publicznego obejmuje prawie wszystkie okoliczności wymienione w tym przepisie, poza prawem własności, to bowiem jest, gdy idzie o własność prywatną, nierozerwalnie związane z kategorią interesu prywatnego.</w:t>
      </w:r>
    </w:p>
    <w:p>
      <w:pPr>
        <w:pStyle w:val="Normal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Zgodnie z przepisami ustawy o samorządzie gminnym (art.7 pkt 1) zaspokojenie zbiorowych potrzeb wspólnoty, m.in. w zakresie zaopatrzenia w wodę jest zadaniem własnym gminy i stanowi cel publiczny w rozumieniu ustawy o gospodarce nieruchomościami. Można zatem stwierdzić, że przedmiotowy projekt planu miejscowego rozstrzyga  o wszystkich aspektach mających ogólny wpływ na interes publiczny, o czym także jest mowa w poszczególnych tezach niniejszego uzasadnienia. Jednakże, że względu na stwierdzony charakter własności nieruchomości objętych planem i brak wyznaczonych przestrzeni publicznych – dokument planistyczny nie formułuje ustaleń odnoszących się w sposób szczególny do interesu publicznego.</w:t>
      </w:r>
    </w:p>
    <w:p>
      <w:pPr>
        <w:pStyle w:val="Normal"/>
        <w:ind w:left="360" w:hanging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1"/>
          <w:numId w:val="9"/>
        </w:numPr>
        <w:tabs>
          <w:tab w:val="clear" w:pos="708"/>
          <w:tab w:val="left" w:pos="1080" w:leader="none"/>
        </w:tabs>
        <w:ind w:left="1080" w:hanging="360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  <w:t>potrzeby w zakresie rozwoju infrastruktury technicznej, w szczególności sieci szerokopasmowych</w:t>
      </w:r>
    </w:p>
    <w:p>
      <w:pPr>
        <w:pStyle w:val="Normal"/>
        <w:ind w:left="1080" w:hanging="0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Plan miejscowy, poprzez swoje ustalenia, zabezpiecza potrzeby w zakresie rozwoju infrastruktury technicznej,  również dla terenów rozwojowych przeznaczonych pod zainwestowanie, nie wprowadza zakazów dotyczących lokalizacji urządzeń służących rozwojowi sieci szerokopasmowych.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1"/>
          <w:numId w:val="10"/>
        </w:numPr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  <w:t>zapewnienie udziału społeczeństwa w pracach nad miejscowym planem zagospodarowana przestrzennego, w tym przy użyciu środków komunikacji elektronicznej</w:t>
      </w:r>
    </w:p>
    <w:p>
      <w:pPr>
        <w:pStyle w:val="Normal"/>
        <w:ind w:left="720" w:hanging="0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ind w:left="360" w:hanging="360"/>
        <w:jc w:val="both"/>
        <w:rPr>
          <w:rFonts w:ascii="Calibri" w:hAnsi="Calibri"/>
        </w:rPr>
      </w:pPr>
      <w:r>
        <w:rPr>
          <w:rFonts w:ascii="Calibri" w:hAnsi="Calibri"/>
        </w:rPr>
        <w:t>1.</w:t>
        <w:tab/>
        <w:t>Zgodnie z art. 17 pkt 1 ustawy z dnia 27 marca 2003 r. o planowaniu i zagospodarowaniu przestrzennym (Dz. U. z 2015 r. poz. 199 ze zmianami) przed przystąpieniem do sporządzenia projektu planu miejscowego zwrócono się do społeczeństwa stosownym obwieszczeniem na tablicy ogłoszeń Urzędu Miasta i Gminy Niemcza oraz ogłoszeniem umieszczonym w miejscowej prasie, a także na stronie internetowej Urzędu, w których poinformowano o możliwości składania wniosków w sprawie (obwieszczenie i ogłoszenie prasowe: zbieranie wniosków do dnia 01 marca 2021 r.).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1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Zgodnie z art. 17 pkt 9 w/w ustawy, analogicznie jak wyżej za pośrednictwem obwieszczenia, ogłoszenia i strony internetowej, poinformowane zostanie społeczeństwo o planowanym wyłożeniu do wglądu publicznego projektu przedmiotowego planu miejscowego wraz z prognozą środowiskową w celu zapoznania się z przyjętymi rozwiązaniami planistycznymi, oraz o możliwości składania uwag w sprawie (wyłożenie do publicznego wglądu w dniach: ……………, zbieranie uwag do dnia…………...).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1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Kolejne fazy sporządzania zostaną przeprowadzone zgodnie z wymogami u.p.z.p.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1"/>
          <w:numId w:val="10"/>
        </w:numPr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  <w:t>zachowanie jawności i przejrzystości procedur planistycznych</w:t>
      </w:r>
    </w:p>
    <w:p>
      <w:pPr>
        <w:pStyle w:val="Normal"/>
        <w:ind w:left="720" w:hanging="0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ind w:firstLine="360"/>
        <w:jc w:val="both"/>
        <w:rPr>
          <w:rFonts w:ascii="Calibri" w:hAnsi="Calibri"/>
        </w:rPr>
      </w:pPr>
      <w:r>
        <w:rPr>
          <w:rFonts w:ascii="Calibri" w:hAnsi="Calibri"/>
        </w:rPr>
        <w:t>Przebieg sporządzania projektu planu miejcowego i przeprowadzania związanych z nim procedur jest zgodny z przepisami ustawy o planowaniu i zagospodarowaniu przestrzennym i jest na wszystkich etapach pracy jawny i dostępny dla społeczeństwa. Stosowne potwierdzenia gromadzone są w dokumentacji planistycznej opracowania.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>
      <w:pPr>
        <w:pStyle w:val="Normal"/>
        <w:numPr>
          <w:ilvl w:val="1"/>
          <w:numId w:val="10"/>
        </w:numPr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  <w:t>potrzeba zapewnienia odpowiedniej ilości i jakości wody, do celów zaopatrzenia ludności</w:t>
      </w:r>
    </w:p>
    <w:p>
      <w:pPr>
        <w:pStyle w:val="Normal"/>
        <w:ind w:left="720" w:hanging="0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ind w:firstLine="360"/>
        <w:jc w:val="both"/>
        <w:rPr>
          <w:rFonts w:ascii="Calibri" w:hAnsi="Calibri"/>
        </w:rPr>
      </w:pPr>
      <w:r>
        <w:rPr>
          <w:rFonts w:ascii="Calibri" w:hAnsi="Calibri"/>
        </w:rPr>
        <w:t>Mając na uwadze, iż przedmiotowy plan miejscowy przeznacza niewielki procent powierzchni obszaru objętego planem na cele rozwojowe z zakresu mieszkalnictwa indywidualnego z jednoczesną rozbudową gminnej sieci wodociągowej, zaopatrzenie ludności w  odpowiednią ilość i jakość wody będzie w pełni zabezpieczone. Ze względu na położenie obszaru w strefie wiejskiej, plan miejscowy dopuszcza możliwość realizowania alternatywnych źródeł zaopatrzenia w wodę, stosownie do obowiązujących przepisów odrębnych.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b/>
          <w:sz w:val="28"/>
          <w:szCs w:val="28"/>
        </w:rPr>
        <w:t>B.</w:t>
      </w:r>
      <w:r>
        <w:rPr>
          <w:rFonts w:ascii="Calibri" w:hAnsi="Calibri"/>
        </w:rPr>
        <w:tab/>
        <w:t xml:space="preserve">Odnośnie sposobu realizacji wymogów, o których mowa w </w:t>
      </w:r>
      <w:r>
        <w:rPr>
          <w:rFonts w:ascii="Calibri" w:hAnsi="Calibri"/>
          <w:b/>
        </w:rPr>
        <w:t>art. 1 ust. 3</w:t>
      </w:r>
      <w:r>
        <w:rPr>
          <w:rFonts w:ascii="Calibri" w:hAnsi="Calibri"/>
        </w:rPr>
        <w:t xml:space="preserve">  ustawy stwierdza się, iż w trakcie sporządzania projektu planu miejscowego wzięto pod uwagę zarówno interes prywatny jak i publiczny i uwzględniono je w sposobie rozpatrzenia wniosków. Sposób rozpatrzenia wniosków złożonych do projektu planu miejscowego został określony w dokumencie planistycznym pn. Rozpatrzenie wniosków złożonych do sporządzanego projektu planu. Podstawą do przyjętych rozwiązań były, oprócz materiałów wyjściowych do sporządzenia projektu planu miejscowego, także opracowania: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2"/>
          <w:numId w:val="9"/>
        </w:numPr>
        <w:tabs>
          <w:tab w:val="clear" w:pos="708"/>
          <w:tab w:val="left" w:pos="840" w:leader="none"/>
        </w:tabs>
        <w:ind w:left="840" w:hanging="480"/>
        <w:jc w:val="both"/>
        <w:rPr>
          <w:rFonts w:ascii="Calibri" w:hAnsi="Calibri"/>
        </w:rPr>
      </w:pPr>
      <w:r>
        <w:rPr>
          <w:rFonts w:ascii="Calibri" w:hAnsi="Calibri"/>
        </w:rPr>
        <w:t>Prognoza oddziaływania na środowisko, w której w podsumowaniu stwierdzono, że:</w:t>
      </w:r>
    </w:p>
    <w:p>
      <w:pPr>
        <w:pStyle w:val="Normal"/>
        <w:numPr>
          <w:ilvl w:val="3"/>
          <w:numId w:val="9"/>
        </w:numPr>
        <w:tabs>
          <w:tab w:val="clear" w:pos="708"/>
          <w:tab w:val="left" w:pos="1200" w:leader="none"/>
        </w:tabs>
        <w:ind w:left="1200" w:hanging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rozwiązania przyjęte w projekcie planu miejscowego uznaje się za dopuszczalne z punktu widzenia gospodarki przestrzennej i ładu przestrzennego oraz ochrony środowiska przyrodniczego i kulturowego, </w:t>
      </w:r>
    </w:p>
    <w:p>
      <w:pPr>
        <w:pStyle w:val="Normal"/>
        <w:numPr>
          <w:ilvl w:val="3"/>
          <w:numId w:val="9"/>
        </w:numPr>
        <w:tabs>
          <w:tab w:val="clear" w:pos="708"/>
          <w:tab w:val="left" w:pos="1200" w:leader="none"/>
        </w:tabs>
        <w:ind w:left="1200" w:hanging="360"/>
        <w:jc w:val="both"/>
        <w:rPr>
          <w:rFonts w:ascii="Calibri" w:hAnsi="Calibri"/>
        </w:rPr>
      </w:pPr>
      <w:r>
        <w:rPr>
          <w:rFonts w:ascii="Calibri" w:hAnsi="Calibri"/>
        </w:rPr>
        <w:t>wyznaczenie nowych terenów pod zainwestowanie, z uwagi na ich bezpośrednie  powiązanie z istniejącą zabudową wsi Nowa Wieś Niemczańska, pozwoli na racjonalne i ekonomiczne zaopatrzenie planowanych terenów w infrastrukturę techniczną,</w:t>
      </w:r>
    </w:p>
    <w:p>
      <w:pPr>
        <w:pStyle w:val="Normal"/>
        <w:numPr>
          <w:ilvl w:val="3"/>
          <w:numId w:val="9"/>
        </w:numPr>
        <w:tabs>
          <w:tab w:val="clear" w:pos="708"/>
          <w:tab w:val="left" w:pos="1200" w:leader="none"/>
        </w:tabs>
        <w:ind w:left="1200" w:hanging="360"/>
        <w:jc w:val="both"/>
        <w:rPr>
          <w:rFonts w:ascii="Calibri" w:hAnsi="Calibri"/>
        </w:rPr>
      </w:pPr>
      <w:r>
        <w:rPr>
          <w:rFonts w:ascii="Calibri" w:hAnsi="Calibri"/>
        </w:rPr>
        <w:t>w prognozie stwierdza się, iż planowane zainwestowanie nie wpłynie negatywnie na środowisko obszarów sąsiadujących. Obszar objęty przedmiotowym planem miejscowym nie narusza ustaleń zawartych w funkcjonujących planach miejscowego na terenach przyległych, które zachowują swoje przeznaczenie rolnicze bądź mieszkaniowe wsi. Obszar „Wzgórz Niemczańskich” objęty ochroną z mocy przepisów odrębnych nie sąsiaduje z obszarem objętym niniejszym opracowaniem.</w:t>
      </w:r>
    </w:p>
    <w:p>
      <w:pPr>
        <w:pStyle w:val="Normal"/>
        <w:ind w:left="840" w:hanging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2"/>
          <w:numId w:val="9"/>
        </w:numPr>
        <w:tabs>
          <w:tab w:val="clear" w:pos="708"/>
          <w:tab w:val="left" w:pos="840" w:leader="none"/>
        </w:tabs>
        <w:ind w:left="840" w:hanging="480"/>
        <w:jc w:val="both"/>
        <w:rPr>
          <w:rFonts w:ascii="Calibri" w:hAnsi="Calibri"/>
        </w:rPr>
      </w:pPr>
      <w:r>
        <w:rPr>
          <w:rFonts w:ascii="Calibri" w:hAnsi="Calibri"/>
        </w:rPr>
        <w:t>Prognoza skutków finansowych wynikających z przyjętych rozwiązań, w której podsumowaniu stwierdzono, że w wyniku założeń wymienionych w niniejszej prognozie przewiduje się, że nie wystąpią skutki finansowe wynikające z ustaleń planu miejscowego, których bilans nakładów i dochodów prognozowanych w czasokresie podanym w prognozie jest ujemny, jednak w wyniku ustaleń określonych w planie miejscowym należy się spodziewać, że w dalszej perspektywie czasowej, nastąpi wzrost wpływów finansowych z tytułu sprzedaży gruntów oraz w konsekwencji także powstałych w wyniku realizacji planu budynków i nowo tworzonych podmiotów gospodarczych,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b/>
          <w:sz w:val="28"/>
          <w:szCs w:val="28"/>
        </w:rPr>
        <w:t>C.</w:t>
      </w:r>
      <w:r>
        <w:rPr>
          <w:rFonts w:ascii="Calibri" w:hAnsi="Calibri"/>
        </w:rPr>
        <w:tab/>
        <w:t xml:space="preserve">Odnośnie sposobu realizacji wymogów, o których mowa w </w:t>
      </w:r>
      <w:r>
        <w:rPr>
          <w:rFonts w:ascii="Calibri" w:hAnsi="Calibri"/>
          <w:b/>
        </w:rPr>
        <w:t>art. 1 ust. 4</w:t>
      </w:r>
      <w:r>
        <w:rPr>
          <w:rFonts w:ascii="Calibri" w:hAnsi="Calibri"/>
        </w:rPr>
        <w:t xml:space="preserve"> ustawy,  stwierdza się iż w przedmiotowym planie miejscowym: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11"/>
        </w:numPr>
        <w:jc w:val="both"/>
        <w:rPr>
          <w:rFonts w:ascii="Calibri" w:hAnsi="Calibri"/>
        </w:rPr>
      </w:pPr>
      <w:r>
        <w:rPr>
          <w:rFonts w:ascii="Calibri" w:hAnsi="Calibri"/>
        </w:rPr>
        <w:t>kształtowanie struktur przestrzennych podporządkowane zostało minimalizowaniu transportochłonności układu przestrzennego,</w:t>
      </w:r>
    </w:p>
    <w:p>
      <w:pPr>
        <w:pStyle w:val="Normal"/>
        <w:numPr>
          <w:ilvl w:val="0"/>
          <w:numId w:val="11"/>
        </w:numPr>
        <w:jc w:val="both"/>
        <w:rPr>
          <w:rFonts w:ascii="Calibri" w:hAnsi="Calibri"/>
        </w:rPr>
      </w:pPr>
      <w:r>
        <w:rPr>
          <w:rFonts w:ascii="Calibri" w:hAnsi="Calibri"/>
        </w:rPr>
        <w:t>nie było potrzeby określenia ustaleń zapewniających mieszkańcom transport zbiorowy,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W kwestii zgodności przyjętych w planie rozwiązań z wynikami analizy, o której mowa w art. 32 ust. 1 ustawy stwierdza się, że wnioski o dokonanie zmian w obowiązującym dokumencie planistycznym nie funkcjonowały w dacie przyjmowania stosownej „Oceny….”, dodać zaś należy, że przedmiotowa zmiana planu miejscowego nie narusza ustaleń „Studium uwarunkowań i kierunków zagospodarowania Gminy Niemcza”.</w:t>
      </w:r>
    </w:p>
    <w:p>
      <w:pPr>
        <w:pStyle w:val="Normal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Przeprowadzona Ocena studium uwarunkowań i kierunków zagospodarowania przestrzennego Gminy Niemcza przyjęta Uchwałą …………. Rady Miejskiej w Niemczy z dnia ……….., nie wskazała na potrzebę przeprowadzenia aktualizacji Studium uwarunkowań i kierunków zagospodarowania przestrzennego.  </w:t>
      </w:r>
    </w:p>
    <w:p>
      <w:pPr>
        <w:pStyle w:val="Normal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Przed przystąpieniem do sporządzenia przedmiotowego miejscowego planu zagospodarowania przestrzennego przeanalizowano wnioski w sprawie sporządzenia zmiany obowiązującego planu, których przesłanki uwzględniono w planie miejscowym i potwierdzono, że nie naruszały one ustaleń studium.   </w:t>
      </w:r>
    </w:p>
    <w:p>
      <w:pPr>
        <w:pStyle w:val="Normal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Uchwalenie przedmiotowego planu miejscowego stworzy podstawę prawną do lokalizowania inwestycji w nim dopuszczonych, wpłynie na dalszy zrównoważony rozwój terenu oraz przyczyni się do uzyskania w dalszej perspektywie czasowej wpływów finansowych do budżetu gminy.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b/>
          <w:bCs/>
          <w:sz w:val="28"/>
          <w:szCs w:val="28"/>
        </w:rPr>
        <w:t>D.</w:t>
      </w:r>
      <w:r>
        <w:rPr>
          <w:rFonts w:ascii="Calibri" w:hAnsi="Calibri"/>
        </w:rPr>
        <w:tab/>
        <w:t>Procedura opiniowania i uzgadniania projektu MPZP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Na etapie opiniowania i uzgadniania projektu planu miejscowego wpłynęła opinia od TAURON Dystrybucja, zawierająca uwagi do tekstu uchwały. Ze względu na charakter wnioskowanych uwag, uwzględnienie których spowodowałoby przekroczenie kompetencji gminy w zakresie stanowienia prawa miejscowego, bądź naruszenie przepisów szczególnych zakazujących wprowadzania regulacji zawartych w aktach wyższego rzędu, nie zostały one uwzględnione.</w:t>
      </w:r>
    </w:p>
    <w:p>
      <w:pPr>
        <w:pStyle w:val="Normal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Postanowieniem (O.WR.Z-3.438.28.2021.js.1) z dnia 28. 04. 2021 Generalny Dyrektor Dróg Krajowych i Autostrad odmówiła uzgodnienia przedłożonego projektu planu miejscowego, uzasadniając to bliskością skrzyżowania o ograniczonej widoczności. Lokalizacja na obszarze zabudowy mieszkaniowo – usługowej w sposób znaczący wpłynie na stan bezpieczeństwa na drodze krajowej. Gmina złożyła zażalenie na podjęta decyzją, uzasadniając to wcześniejszą pozytywną opinią GDDKiA do Studium uwarunkowań i kierunków zagospodarowania przestrzennego miasta i Gminy Niemcza, które to Studium uwzględniało teren mieszkaniowy wzdłuż drogi DK8. W wynika zażalenia organ dróg krajowych i autostrad ponownie odmówił uzgodnienia projektu planu miejscowego, wskazując jednocześnie  warunki, jakie należy spełnić, by móc uzyskać pozytywne stanowisko organu.</w:t>
      </w:r>
    </w:p>
    <w:p>
      <w:pPr>
        <w:pStyle w:val="Normal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W związku z powyższym gmina dokonała stosownej korekty projektu planu miejscowego rezygnując z </w:t>
      </w:r>
      <w:bookmarkStart w:id="0" w:name="_GoBack"/>
      <w:bookmarkEnd w:id="0"/>
      <w:r>
        <w:rPr>
          <w:rFonts w:ascii="Calibri" w:hAnsi="Calibri"/>
        </w:rPr>
        <w:t xml:space="preserve">przeznaczenia części obszaru na cele mieszkaniowo - usługowe i ponowiła czynności wynikające z art. 17 pkt 6 b) ustawy o planowaniu i zagospodarowaniu przestrzennym. </w:t>
      </w:r>
    </w:p>
    <w:p>
      <w:pPr>
        <w:pStyle w:val="Normal"/>
        <w:ind w:left="1080" w:hanging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right"/>
        <w:rPr/>
      </w:pPr>
      <w:r>
        <w:rPr>
          <w:rFonts w:ascii="Calibri" w:hAnsi="Calibri"/>
        </w:rPr>
        <w:t>Burmistrz Miasta i Gminy Niemczy</w:t>
      </w:r>
    </w:p>
    <w:sectPr>
      <w:footerReference w:type="default" r:id="rId2"/>
      <w:type w:val="nextPage"/>
      <w:pgSz w:w="11906" w:h="16838"/>
      <w:pgMar w:left="1134" w:right="851" w:header="0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D9D9D9"/>
      </w:pBdr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  <w:r>
      <w:rPr/>
      <w:t xml:space="preserve"> </w:t>
    </w:r>
    <w:r>
      <w:rPr/>
      <w:t xml:space="preserve">| </w:t>
    </w:r>
    <w:r>
      <w:rPr>
        <w:color w:val="7F7F7F"/>
        <w:spacing w:val="60"/>
      </w:rPr>
      <w:t>Strona</w:t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decimal"/>
      <w:lvlText w:val="§%1."/>
      <w:lvlJc w:val="left"/>
      <w:pPr>
        <w:tabs>
          <w:tab w:val="num" w:pos="470"/>
        </w:tabs>
        <w:ind w:left="11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"/>
        <w:sz w:val="2"/>
        <w:spacing w:val="0"/>
        <w:i w:val="false"/>
        <w:shadow w:val="false"/>
        <w:u w:val="none"/>
        <w:b w:val="false"/>
        <w:kern w:val="0"/>
        <w:effect w:val="none"/>
        <w:szCs w:val="2"/>
        <w:iCs w:val="false"/>
        <w:bCs w:val="false"/>
        <w:w w:val="1"/>
        <w:emboss w:val="false"/>
        <w:imprint w:val="false"/>
        <w:vanish w:val="false"/>
        <w:rFonts w:cs="Times New Roman"/>
        <w:color w:val="000000"/>
      </w:rPr>
    </w:lvl>
    <w:lvl w:ilvl="1">
      <w:start w:val="1"/>
      <w:pStyle w:val="Nagwek2"/>
      <w:numFmt w:val="decimal"/>
      <w:lvlText w:val="%2."/>
      <w:lvlJc w:val="left"/>
      <w:pPr>
        <w:tabs>
          <w:tab w:val="num" w:pos="690"/>
        </w:tabs>
        <w:ind w:left="33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0"/>
        <w:effect w:val="none"/>
        <w:szCs w:val="2"/>
        <w:iCs w:val="false"/>
        <w:bCs w:val="false"/>
        <w:w w:val="1"/>
        <w:emboss w:val="false"/>
        <w:imprint w:val="false"/>
        <w:vanish w:val="false"/>
        <w:rFonts w:eastAsia="Times New Roman" w:cs="Times New Roman"/>
        <w:color w:val="auto"/>
      </w:rPr>
    </w:lvl>
    <w:lvl w:ilvl="2">
      <w:start w:val="1"/>
      <w:pStyle w:val="Nagwek3"/>
      <w:numFmt w:val="decimal"/>
      <w:lvlText w:val="%3."/>
      <w:lvlJc w:val="left"/>
      <w:pPr>
        <w:tabs>
          <w:tab w:val="num" w:pos="470"/>
        </w:tabs>
        <w:ind w:left="110" w:hanging="0"/>
      </w:pPr>
      <w:rPr>
        <w:dstrike w:val="false"/>
        <w:strike w:val="false"/>
        <w:sz w:val="28"/>
        <w:i w:val="false"/>
        <w:u w:val="none"/>
        <w:b w:val="false"/>
        <w:effect w:val="none"/>
        <w:szCs w:val="22"/>
        <w:rFonts w:eastAsia="Times New Roman" w:cs="Times New Roman"/>
        <w:color w:val="auto"/>
      </w:rPr>
    </w:lvl>
    <w:lvl w:ilvl="3">
      <w:start w:val="1"/>
      <w:pStyle w:val="Nagwek4"/>
      <w:numFmt w:val="decimal"/>
      <w:lvlText w:val="%4)"/>
      <w:lvlJc w:val="left"/>
      <w:pPr>
        <w:tabs>
          <w:tab w:val="num" w:pos="800"/>
        </w:tabs>
        <w:ind w:left="44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"/>
        <w:sz w:val="2"/>
        <w:spacing w:val="0"/>
        <w:i w:val="false"/>
        <w:shadow w:val="false"/>
        <w:u w:val="none"/>
        <w:b w:val="false"/>
        <w:kern w:val="0"/>
        <w:effect w:val="none"/>
        <w:szCs w:val="2"/>
        <w:iCs w:val="false"/>
        <w:bCs w:val="false"/>
        <w:w w:val="1"/>
        <w:emboss w:val="false"/>
        <w:imprint w:val="false"/>
        <w:vanish w:val="false"/>
        <w:rFonts w:eastAsia="Times New Roman" w:cs="Times New Roman"/>
        <w:color w:val="000000"/>
      </w:r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Nagwek6"/>
      <w:numFmt w:val="lowerLetter"/>
      <w:lvlText w:val="(%6)"/>
      <w:lvlJc w:val="left"/>
      <w:pPr>
        <w:tabs>
          <w:tab w:val="num" w:pos="2880"/>
        </w:tabs>
        <w:ind w:left="2520" w:hanging="0"/>
      </w:pPr>
      <w:rPr>
        <w:rFonts w:cs="Times New Roman"/>
      </w:rPr>
    </w:lvl>
    <w:lvl w:ilvl="6">
      <w:start w:val="1"/>
      <w:pStyle w:val="Nagwek7"/>
      <w:numFmt w:val="lowerRoman"/>
      <w:lvlText w:val="(%7)"/>
      <w:lvlJc w:val="left"/>
      <w:pPr>
        <w:tabs>
          <w:tab w:val="num" w:pos="3600"/>
        </w:tabs>
        <w:ind w:left="3240" w:hanging="0"/>
      </w:pPr>
      <w:rPr>
        <w:rFonts w:cs="Times New Roman"/>
      </w:rPr>
    </w:lvl>
    <w:lvl w:ilvl="7">
      <w:start w:val="1"/>
      <w:pStyle w:val="Nagwek8"/>
      <w:numFmt w:val="lowerLetter"/>
      <w:lvlText w:val="(%8)"/>
      <w:lvlJc w:val="left"/>
      <w:pPr>
        <w:tabs>
          <w:tab w:val="num" w:pos="4320"/>
        </w:tabs>
        <w:ind w:left="3960" w:hanging="0"/>
      </w:pPr>
      <w:rPr>
        <w:rFonts w:cs="Times New Roman"/>
      </w:rPr>
    </w:lvl>
    <w:lvl w:ilvl="8">
      <w:start w:val="1"/>
      <w:pStyle w:val="Nagwek9"/>
      <w:numFmt w:val="lowerRoman"/>
      <w:lvlText w:val="(%9)"/>
      <w:lvlJc w:val="left"/>
      <w:pPr>
        <w:tabs>
          <w:tab w:val="num" w:pos="5040"/>
        </w:tabs>
        <w:ind w:left="4680" w:hanging="0"/>
      </w:pPr>
      <w:rPr>
        <w:rFonts w:cs="Times New Roman"/>
      </w:rPr>
    </w:lvl>
  </w:abstractNum>
  <w:abstractNum w:abstractNumId="2">
    <w:lvl w:ilvl="0">
      <w:start w:val="1"/>
      <w:numFmt w:val="decimal"/>
      <w:lvlText w:val="%1"/>
      <w:lvlJc w:val="left"/>
      <w:pPr>
        <w:tabs>
          <w:tab w:val="num" w:pos="780"/>
        </w:tabs>
        <w:ind w:left="780" w:hanging="360"/>
      </w:pPr>
      <w:rPr>
        <w:b/>
        <w:rFonts w:ascii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"/>
      <w:lvlJc w:val="left"/>
      <w:pPr>
        <w:tabs>
          <w:tab w:val="num" w:pos="1080"/>
        </w:tabs>
        <w:ind w:left="1080" w:hanging="360"/>
      </w:pPr>
      <w:rPr>
        <w:b/>
        <w:rFonts w:ascii="Calibri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"/>
      <w:lvlJc w:val="left"/>
      <w:pPr>
        <w:tabs>
          <w:tab w:val="num" w:pos="1080"/>
        </w:tabs>
        <w:ind w:left="1080" w:hanging="360"/>
      </w:pPr>
      <w:rPr>
        <w:b/>
        <w:rFonts w:ascii="Calibri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lvl w:ilvl="0">
      <w:start w:val="1"/>
      <w:numFmt w:val="decimal"/>
      <w:lvlText w:val="%1"/>
      <w:lvlJc w:val="left"/>
      <w:pPr>
        <w:tabs>
          <w:tab w:val="num" w:pos="720"/>
        </w:tabs>
        <w:ind w:left="720" w:hanging="360"/>
      </w:pPr>
      <w:rPr>
        <w:b/>
        <w:rFonts w:ascii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"/>
      <w:lvlJc w:val="left"/>
      <w:pPr>
        <w:tabs>
          <w:tab w:val="num" w:pos="1080"/>
        </w:tabs>
        <w:ind w:left="1080" w:hanging="360"/>
      </w:pPr>
      <w:rPr>
        <w:b/>
        <w:rFonts w:ascii="Calibri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"/>
      <w:lvlJc w:val="left"/>
      <w:pPr>
        <w:tabs>
          <w:tab w:val="num" w:pos="1440"/>
        </w:tabs>
        <w:ind w:left="1440" w:hanging="360"/>
      </w:pPr>
      <w:rPr>
        <w:b/>
        <w:rFonts w:ascii="Calibri" w:hAnsi="Calibri" w:cs="Times New Roman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"/>
      <w:lvlJc w:val="left"/>
      <w:pPr>
        <w:tabs>
          <w:tab w:val="num" w:pos="1080"/>
        </w:tabs>
        <w:ind w:left="1080" w:hanging="360"/>
      </w:pPr>
      <w:rPr>
        <w:b/>
        <w:rFonts w:ascii="Calibri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ascii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val="bestFit" w:percent="221"/>
  <w:defaultTabStop w:val="708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uiPriority="0" w:semiHidden="1" w:unhideWhenUsed="1"/>
    <w:lsdException w:name="Balloon Text" w:semiHidden="1" w:unhideWhenUsed="1"/>
    <w:lsdException w:name="Table Grid" w:locked="1" w:uiPriority="0"/>
    <w:lsdException w:name="Table Theme" w:locked="1" w:uiPriority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50f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9"/>
    <w:qFormat/>
    <w:rsid w:val="00e750f8"/>
    <w:pPr>
      <w:numPr>
        <w:ilvl w:val="0"/>
        <w:numId w:val="1"/>
      </w:numPr>
      <w:suppressLineNumbers/>
      <w:snapToGrid w:val="false"/>
      <w:jc w:val="both"/>
      <w:outlineLvl w:val="0"/>
    </w:pPr>
    <w:rPr>
      <w:sz w:val="22"/>
    </w:rPr>
  </w:style>
  <w:style w:type="paragraph" w:styleId="Nagwek2">
    <w:name w:val="Heading 2"/>
    <w:basedOn w:val="Normal"/>
    <w:next w:val="Normal"/>
    <w:link w:val="Nagwek2Znak"/>
    <w:uiPriority w:val="99"/>
    <w:qFormat/>
    <w:rsid w:val="00e750f8"/>
    <w:pPr>
      <w:numPr>
        <w:ilvl w:val="1"/>
        <w:numId w:val="1"/>
      </w:numPr>
      <w:suppressLineNumbers/>
      <w:snapToGrid w:val="false"/>
      <w:jc w:val="both"/>
      <w:outlineLvl w:val="1"/>
    </w:pPr>
    <w:rPr>
      <w:sz w:val="22"/>
    </w:rPr>
  </w:style>
  <w:style w:type="paragraph" w:styleId="Nagwek3">
    <w:name w:val="Heading 3"/>
    <w:basedOn w:val="Normal"/>
    <w:next w:val="Normal"/>
    <w:link w:val="Nagwek3Znak"/>
    <w:uiPriority w:val="99"/>
    <w:qFormat/>
    <w:rsid w:val="00e750f8"/>
    <w:pPr>
      <w:numPr>
        <w:ilvl w:val="2"/>
        <w:numId w:val="1"/>
      </w:numPr>
      <w:suppressLineNumbers/>
      <w:jc w:val="both"/>
      <w:outlineLvl w:val="2"/>
    </w:pPr>
    <w:rPr>
      <w:sz w:val="22"/>
    </w:rPr>
  </w:style>
  <w:style w:type="paragraph" w:styleId="Nagwek4">
    <w:name w:val="Heading 4"/>
    <w:basedOn w:val="Normal"/>
    <w:next w:val="Normal"/>
    <w:link w:val="Nagwek4Znak"/>
    <w:uiPriority w:val="99"/>
    <w:qFormat/>
    <w:rsid w:val="00e750f8"/>
    <w:pPr>
      <w:numPr>
        <w:ilvl w:val="3"/>
        <w:numId w:val="1"/>
      </w:numPr>
      <w:suppressLineNumbers/>
      <w:snapToGrid w:val="false"/>
      <w:jc w:val="both"/>
      <w:outlineLvl w:val="3"/>
    </w:pPr>
    <w:rPr>
      <w:sz w:val="22"/>
      <w:szCs w:val="22"/>
    </w:rPr>
  </w:style>
  <w:style w:type="paragraph" w:styleId="Nagwek6">
    <w:name w:val="Heading 6"/>
    <w:basedOn w:val="Normal"/>
    <w:next w:val="Normal"/>
    <w:link w:val="Nagwek6Znak"/>
    <w:uiPriority w:val="99"/>
    <w:qFormat/>
    <w:rsid w:val="00e750f8"/>
    <w:pPr>
      <w:keepNext w:val="true"/>
      <w:numPr>
        <w:ilvl w:val="5"/>
        <w:numId w:val="1"/>
      </w:numPr>
      <w:outlineLvl w:val="5"/>
    </w:pPr>
    <w:rPr>
      <w:b/>
      <w:sz w:val="26"/>
      <w:szCs w:val="20"/>
    </w:rPr>
  </w:style>
  <w:style w:type="paragraph" w:styleId="Nagwek7">
    <w:name w:val="Heading 7"/>
    <w:basedOn w:val="Normal"/>
    <w:next w:val="Normal"/>
    <w:link w:val="Nagwek7Znak"/>
    <w:uiPriority w:val="99"/>
    <w:qFormat/>
    <w:rsid w:val="00e750f8"/>
    <w:pPr>
      <w:keepNext w:val="true"/>
      <w:numPr>
        <w:ilvl w:val="6"/>
        <w:numId w:val="1"/>
      </w:numPr>
      <w:jc w:val="center"/>
      <w:outlineLvl w:val="6"/>
    </w:pPr>
    <w:rPr>
      <w:b/>
      <w:i/>
      <w:sz w:val="28"/>
      <w:szCs w:val="20"/>
    </w:rPr>
  </w:style>
  <w:style w:type="paragraph" w:styleId="Nagwek8">
    <w:name w:val="Heading 8"/>
    <w:basedOn w:val="Normal"/>
    <w:next w:val="Normal"/>
    <w:link w:val="Nagwek8Znak"/>
    <w:uiPriority w:val="99"/>
    <w:qFormat/>
    <w:rsid w:val="00e750f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"/>
    <w:next w:val="Normal"/>
    <w:link w:val="Nagwek9Znak"/>
    <w:uiPriority w:val="99"/>
    <w:qFormat/>
    <w:rsid w:val="00e750f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link w:val="Nagwek1"/>
    <w:uiPriority w:val="99"/>
    <w:qFormat/>
    <w:locked/>
    <w:rsid w:val="00e750f8"/>
    <w:rPr>
      <w:rFonts w:ascii="Times New Roman" w:hAnsi="Times New Roman" w:cs="Times New Roman"/>
      <w:sz w:val="24"/>
      <w:szCs w:val="24"/>
      <w:lang w:eastAsia="pl-PL"/>
    </w:rPr>
  </w:style>
  <w:style w:type="character" w:styleId="Nagwek2Znak" w:customStyle="1">
    <w:name w:val="Nagłówek 2 Znak"/>
    <w:link w:val="Nagwek2"/>
    <w:uiPriority w:val="99"/>
    <w:semiHidden/>
    <w:qFormat/>
    <w:locked/>
    <w:rsid w:val="00e750f8"/>
    <w:rPr>
      <w:rFonts w:ascii="Times New Roman" w:hAnsi="Times New Roman" w:cs="Times New Roman"/>
      <w:sz w:val="24"/>
      <w:szCs w:val="24"/>
      <w:lang w:eastAsia="pl-PL"/>
    </w:rPr>
  </w:style>
  <w:style w:type="character" w:styleId="Nagwek3Znak" w:customStyle="1">
    <w:name w:val="Nagłówek 3 Znak"/>
    <w:link w:val="Nagwek3"/>
    <w:uiPriority w:val="99"/>
    <w:semiHidden/>
    <w:qFormat/>
    <w:locked/>
    <w:rsid w:val="00e750f8"/>
    <w:rPr>
      <w:rFonts w:ascii="Times New Roman" w:hAnsi="Times New Roman" w:cs="Times New Roman"/>
      <w:sz w:val="24"/>
      <w:szCs w:val="24"/>
      <w:lang w:eastAsia="pl-PL"/>
    </w:rPr>
  </w:style>
  <w:style w:type="character" w:styleId="Nagwek4Znak" w:customStyle="1">
    <w:name w:val="Nagłówek 4 Znak"/>
    <w:link w:val="Nagwek4"/>
    <w:uiPriority w:val="99"/>
    <w:semiHidden/>
    <w:qFormat/>
    <w:locked/>
    <w:rsid w:val="00e750f8"/>
    <w:rPr>
      <w:rFonts w:ascii="Times New Roman" w:hAnsi="Times New Roman" w:cs="Times New Roman"/>
      <w:lang w:eastAsia="pl-PL"/>
    </w:rPr>
  </w:style>
  <w:style w:type="character" w:styleId="Nagwek6Znak" w:customStyle="1">
    <w:name w:val="Nagłówek 6 Znak"/>
    <w:link w:val="Nagwek6"/>
    <w:uiPriority w:val="99"/>
    <w:semiHidden/>
    <w:qFormat/>
    <w:locked/>
    <w:rsid w:val="00e750f8"/>
    <w:rPr>
      <w:rFonts w:ascii="Times New Roman" w:hAnsi="Times New Roman" w:cs="Times New Roman"/>
      <w:b/>
      <w:sz w:val="20"/>
      <w:szCs w:val="20"/>
      <w:lang w:eastAsia="pl-PL"/>
    </w:rPr>
  </w:style>
  <w:style w:type="character" w:styleId="Nagwek7Znak" w:customStyle="1">
    <w:name w:val="Nagłówek 7 Znak"/>
    <w:link w:val="Nagwek7"/>
    <w:uiPriority w:val="99"/>
    <w:semiHidden/>
    <w:qFormat/>
    <w:locked/>
    <w:rsid w:val="00e750f8"/>
    <w:rPr>
      <w:rFonts w:ascii="Times New Roman" w:hAnsi="Times New Roman" w:cs="Times New Roman"/>
      <w:b/>
      <w:i/>
      <w:sz w:val="20"/>
      <w:szCs w:val="20"/>
      <w:lang w:eastAsia="pl-PL"/>
    </w:rPr>
  </w:style>
  <w:style w:type="character" w:styleId="Nagwek8Znak" w:customStyle="1">
    <w:name w:val="Nagłówek 8 Znak"/>
    <w:link w:val="Nagwek8"/>
    <w:uiPriority w:val="99"/>
    <w:semiHidden/>
    <w:qFormat/>
    <w:locked/>
    <w:rsid w:val="00e750f8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styleId="Nagwek9Znak" w:customStyle="1">
    <w:name w:val="Nagłówek 9 Znak"/>
    <w:link w:val="Nagwek9"/>
    <w:uiPriority w:val="99"/>
    <w:semiHidden/>
    <w:qFormat/>
    <w:locked/>
    <w:rsid w:val="00e750f8"/>
    <w:rPr>
      <w:rFonts w:ascii="Arial" w:hAnsi="Arial" w:cs="Arial"/>
      <w:lang w:eastAsia="pl-PL"/>
    </w:rPr>
  </w:style>
  <w:style w:type="character" w:styleId="TytuZnak" w:customStyle="1">
    <w:name w:val="Tytuł Znak"/>
    <w:link w:val="Tytu"/>
    <w:uiPriority w:val="99"/>
    <w:qFormat/>
    <w:locked/>
    <w:rsid w:val="00e750f8"/>
    <w:rPr>
      <w:rFonts w:ascii="Calibri" w:hAnsi="Calibri" w:cs="Times New Roman"/>
      <w:caps/>
      <w:sz w:val="24"/>
      <w:szCs w:val="24"/>
      <w:lang w:eastAsia="pl-PL"/>
    </w:rPr>
  </w:style>
  <w:style w:type="character" w:styleId="TekstpodstawowywcityZnak" w:customStyle="1">
    <w:name w:val="Tekst podstawowy wcięty Znak"/>
    <w:link w:val="Tekstpodstawowywcity"/>
    <w:uiPriority w:val="99"/>
    <w:qFormat/>
    <w:locked/>
    <w:rsid w:val="00e750f8"/>
    <w:rPr>
      <w:rFonts w:ascii="Times New Roman" w:hAnsi="Times New Roman" w:cs="Times New Roman"/>
      <w:sz w:val="24"/>
      <w:szCs w:val="24"/>
      <w:lang w:eastAsia="pl-PL"/>
    </w:rPr>
  </w:style>
  <w:style w:type="character" w:styleId="Tekstpodstawowywcity2Znak" w:customStyle="1">
    <w:name w:val="Tekst podstawowy wcięty 2 Znak"/>
    <w:link w:val="Tekstpodstawowywcity2"/>
    <w:uiPriority w:val="99"/>
    <w:semiHidden/>
    <w:qFormat/>
    <w:locked/>
    <w:rsid w:val="00e750f8"/>
    <w:rPr>
      <w:rFonts w:ascii="Times New Roman" w:hAnsi="Times New Roman" w:cs="Times New Roman"/>
      <w:sz w:val="24"/>
      <w:szCs w:val="24"/>
      <w:lang w:eastAsia="pl-PL"/>
    </w:rPr>
  </w:style>
  <w:style w:type="character" w:styleId="NagwekZnak" w:customStyle="1">
    <w:name w:val="Nagłówek Znak"/>
    <w:link w:val="Nagwek"/>
    <w:uiPriority w:val="99"/>
    <w:qFormat/>
    <w:locked/>
    <w:rsid w:val="00683a84"/>
    <w:rPr>
      <w:rFonts w:ascii="Times New Roman" w:hAnsi="Times New Roman" w:cs="Times New Roman"/>
      <w:sz w:val="24"/>
      <w:szCs w:val="24"/>
      <w:lang w:eastAsia="pl-PL"/>
    </w:rPr>
  </w:style>
  <w:style w:type="character" w:styleId="StopkaZnak" w:customStyle="1">
    <w:name w:val="Stopka Znak"/>
    <w:link w:val="Stopka"/>
    <w:uiPriority w:val="99"/>
    <w:qFormat/>
    <w:locked/>
    <w:rsid w:val="00683a84"/>
    <w:rPr>
      <w:rFonts w:ascii="Times New Roman" w:hAnsi="Times New Roman" w:cs="Times New Roman"/>
      <w:sz w:val="24"/>
      <w:szCs w:val="24"/>
      <w:lang w:eastAsia="pl-PL"/>
    </w:rPr>
  </w:style>
  <w:style w:type="character" w:styleId="ListLabel1">
    <w:name w:val="ListLabel 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1"/>
      <w:kern w:val="0"/>
      <w:position w:val="0"/>
      <w:sz w:val="2"/>
      <w:sz w:val="2"/>
      <w:szCs w:val="2"/>
      <w:u w:val="none"/>
      <w:effect w:val="none"/>
      <w:vertAlign w:val="baseline"/>
    </w:rPr>
  </w:style>
  <w:style w:type="character" w:styleId="ListLabel2">
    <w:name w:val="ListLabel 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auto"/>
      <w:spacing w:val="0"/>
      <w:w w:val="1"/>
      <w:kern w:val="0"/>
      <w:position w:val="0"/>
      <w:sz w:val="24"/>
      <w:sz w:val="24"/>
      <w:szCs w:val="2"/>
      <w:u w:val="none"/>
      <w:effect w:val="none"/>
      <w:vertAlign w:val="baseline"/>
    </w:rPr>
  </w:style>
  <w:style w:type="character" w:styleId="ListLabel3">
    <w:name w:val="ListLabel 3"/>
    <w:qFormat/>
    <w:rPr>
      <w:rFonts w:eastAsia="Times New Roman" w:cs="Times New Roman"/>
      <w:b w:val="false"/>
      <w:i w:val="false"/>
      <w:strike w:val="false"/>
      <w:dstrike w:val="false"/>
      <w:color w:val="auto"/>
      <w:sz w:val="28"/>
      <w:szCs w:val="22"/>
      <w:u w:val="none"/>
      <w:effect w:val="none"/>
    </w:rPr>
  </w:style>
  <w:style w:type="character" w:styleId="ListLabel4">
    <w:name w:val="ListLabel 4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1"/>
      <w:kern w:val="0"/>
      <w:position w:val="0"/>
      <w:sz w:val="2"/>
      <w:sz w:val="2"/>
      <w:szCs w:val="2"/>
      <w:u w:val="none"/>
      <w:effect w:val="none"/>
      <w:vertAlign w:val="baseline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ascii="Calibri" w:hAnsi="Calibri" w:cs="Times New Roman"/>
      <w:b/>
    </w:rPr>
  </w:style>
  <w:style w:type="character" w:styleId="ListLabel11">
    <w:name w:val="ListLabel 11"/>
    <w:qFormat/>
    <w:rPr>
      <w:rFonts w:ascii="Calibri" w:hAnsi="Calibri"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ascii="Calibri" w:hAnsi="Calibri"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ascii="Calibri" w:hAnsi="Calibri"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ascii="Calibri" w:hAnsi="Calibri" w:cs="Times New Roman"/>
      <w:b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ascii="Calibri" w:hAnsi="Calibri" w:cs="Times New Roman"/>
      <w:b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ascii="Calibri" w:hAnsi="Calibri" w:cs="Times New Roman"/>
      <w:b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ascii="Calibri" w:hAnsi="Calibri" w:cs="Times New Roman"/>
      <w:b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ascii="Calibri" w:hAnsi="Calibri" w:cs="Times New Roman"/>
      <w:b/>
    </w:rPr>
  </w:style>
  <w:style w:type="character" w:styleId="ListLabel75">
    <w:name w:val="ListLabel 75"/>
    <w:qFormat/>
    <w:rPr>
      <w:rFonts w:ascii="Calibri" w:hAnsi="Calibri" w:cs="Times New Roman"/>
    </w:rPr>
  </w:style>
  <w:style w:type="character" w:styleId="ListLabel76">
    <w:name w:val="ListLabel 76"/>
    <w:qFormat/>
    <w:rPr>
      <w:rFonts w:ascii="Calibri" w:hAnsi="Calibri"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ascii="Calibri" w:hAnsi="Calibri" w:cs="Times New Roman"/>
      <w:b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ascii="Calibri" w:hAnsi="Calibri"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link w:val="TytuZnak"/>
    <w:uiPriority w:val="99"/>
    <w:qFormat/>
    <w:rsid w:val="00e750f8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Calibri" w:hAnsi="Calibri"/>
      <w:caps/>
      <w:sz w:val="28"/>
    </w:rPr>
  </w:style>
  <w:style w:type="paragraph" w:styleId="Wcicietrecitekstu">
    <w:name w:val="Body Text Indent"/>
    <w:basedOn w:val="Normal"/>
    <w:link w:val="TekstpodstawowywcityZnak"/>
    <w:uiPriority w:val="99"/>
    <w:rsid w:val="00e750f8"/>
    <w:pPr>
      <w:spacing w:lineRule="auto" w:line="360"/>
      <w:ind w:firstLine="708"/>
      <w:jc w:val="both"/>
    </w:pPr>
    <w:rPr/>
  </w:style>
  <w:style w:type="paragraph" w:styleId="BodyTextIndent2">
    <w:name w:val="Body Text Indent 2"/>
    <w:basedOn w:val="Normal"/>
    <w:link w:val="Tekstpodstawowywcity2Znak"/>
    <w:uiPriority w:val="99"/>
    <w:semiHidden/>
    <w:qFormat/>
    <w:rsid w:val="00e750f8"/>
    <w:pPr>
      <w:ind w:left="426" w:hanging="426"/>
      <w:jc w:val="both"/>
    </w:pPr>
    <w:rPr/>
  </w:style>
  <w:style w:type="paragraph" w:styleId="ListParagraph">
    <w:name w:val="List Paragraph"/>
    <w:basedOn w:val="Normal"/>
    <w:uiPriority w:val="99"/>
    <w:qFormat/>
    <w:rsid w:val="00a52591"/>
    <w:pPr>
      <w:spacing w:before="0" w:after="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rsid w:val="00683a8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683a84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LibreOffice/6.2.2.2$Windows_x86 LibreOffice_project/2b840030fec2aae0fd2658d8d4f9548af4e3518d</Application>
  <Pages>6</Pages>
  <Words>2028</Words>
  <Characters>14014</Characters>
  <CharactersWithSpaces>15980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2021-03-18T09:13:00Z</dcterms:created>
  <dc:creator>Admin</dc:creator>
  <dc:description/>
  <dc:language>pl-PL</dc:language>
  <cp:lastModifiedBy>Admin</cp:lastModifiedBy>
  <dcterms:modified xsi:type="dcterms:W3CDTF">2021-07-06T08:48:00Z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