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hd w:val="clear" w:color="auto" w:fill="FDE9D9"/>
        <w:rPr/>
      </w:pPr>
      <w:r>
        <w:rPr/>
        <w:t>U z a s a d n i e n i e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</w:rPr>
        <w:t>do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projektu </w:t>
      </w:r>
      <w:r>
        <w:rPr>
          <w:rFonts w:ascii="Calibri" w:hAnsi="Calibri"/>
          <w:b/>
          <w:color w:val="000000"/>
        </w:rPr>
        <w:t>miejscowego planu zagospodarowania przestrzennego</w:t>
      </w:r>
    </w:p>
    <w:p>
      <w:pPr>
        <w:pStyle w:val="Normal"/>
        <w:ind w:left="10" w:right="2" w:hanging="10"/>
        <w:jc w:val="center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  <w:t>w obrębie miejscowości Przerzeczyn - Zdrój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Wcicietrecitekstu"/>
        <w:spacing w:lineRule="auto" w:line="240"/>
        <w:ind w:firstLine="709"/>
        <w:rPr>
          <w:rFonts w:ascii="Calibri" w:hAnsi="Calibri"/>
        </w:rPr>
      </w:pPr>
      <w:r>
        <w:rPr>
          <w:rFonts w:ascii="Calibri" w:hAnsi="Calibri"/>
        </w:rPr>
        <w:t>Działając na podstawie art.15 ust. 1 ustawy z dnia 27 marca 2003 r. o planowaniu i zagospodarowaniu przestrzennym (j.t.D.U.2021.741 ze zm.), po przeanalizowaniu ustaleń w/w projektu planu miejscowego należy stwierdzić, że dokument zawiera następujące propozycje rozstrzygnięć:</w:t>
      </w:r>
    </w:p>
    <w:p>
      <w:pPr>
        <w:pStyle w:val="Wcicietrecitekstu"/>
        <w:spacing w:lineRule="auto" w:line="240"/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A.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ab/>
        <w:t xml:space="preserve">W zakresie sposobu realizacji wymogów, o których mowa w </w:t>
      </w:r>
      <w:r>
        <w:rPr>
          <w:rFonts w:ascii="Calibri" w:hAnsi="Calibri"/>
          <w:b/>
        </w:rPr>
        <w:t>art. 1 ust. 2</w:t>
      </w:r>
      <w:r>
        <w:rPr>
          <w:rFonts w:ascii="Calibri" w:hAnsi="Calibri"/>
        </w:rPr>
        <w:t xml:space="preserve"> ustawy: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ładu przestrzennego, w tym urbanistyki i architektury </w:t>
      </w:r>
    </w:p>
    <w:p>
      <w:pPr>
        <w:pStyle w:val="Normal"/>
        <w:ind w:left="42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  <w:tab/>
        <w:t xml:space="preserve">Dla przedmiotowego obszaru, objętego granicami opracowania obowiązuje dotychczas miejscowy plan zagospodarowania przestrzennego przyjęty uchwałą nr XXIII/123/12 Rady Miejskiej w Niemczy z dnia 26 października 2012 r. w sprawie uchwalenia miejscowego planu zagospodarowania przestrzennego wsi Przerzeczyn Zdrój (publ. Dz. Urz. Woj. Doln. z 2013 r. poz. 74), jednakże ze względu na postulowane zmiany w przeznaczeniu należało wprowadzić stosownie do propozycji zawartych w niniejszym opracowaniu. Aby stało się zadość ogólnym zasadom ochrony ładu przestrzennego oraz wymogom zrównoważonego rozwoju, szczególną rolą opracowania jest powiązanie przedmiotowego obszaru z otoczeniem, zarówno prawnym jak też faktycznym i przestrzennym i tak też zaproponowano w przedkładanym projekcie.   </w:t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2.</w:t>
        <w:tab/>
        <w:t>Rozwiązania przyjęte w przedmiotowym planie miejscowym zapewniają właściwe zagospodarowanie terenów oraz ład urbanistyczny i architektoniczny, w tym określenie przeznaczenia terenów i zasad kształtowania nowych obiektów w sposób wzajemnie zharmonizowany.</w:t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Indent2"/>
        <w:ind w:left="360" w:hanging="360"/>
        <w:rPr>
          <w:rFonts w:ascii="Calibri" w:hAnsi="Calibri"/>
        </w:rPr>
      </w:pPr>
      <w:r>
        <w:rPr>
          <w:rFonts w:ascii="Calibri" w:hAnsi="Calibri"/>
        </w:rPr>
        <w:t>3.</w:t>
        <w:tab/>
        <w:t xml:space="preserve">W celu ochrony i kształtowania ładu przestrzennego, stosownie do definicji zawartej w art.2 pkt 10 ustawy o p.z.p., w której mowa jest o takim ukształtowaniu przestrzeni, które tworzy harmonijną całość oraz uwzględnia, prócz innych elementów – także </w:t>
      </w:r>
      <w:r>
        <w:rPr>
          <w:rFonts w:ascii="Calibri" w:hAnsi="Calibri"/>
          <w:u w:val="single"/>
        </w:rPr>
        <w:t>wymagania kompozycyjno – estetyczne,</w:t>
      </w:r>
      <w:r>
        <w:rPr>
          <w:rFonts w:ascii="Calibri" w:hAnsi="Calibri"/>
        </w:rPr>
        <w:t xml:space="preserve"> ze względu na specyficzny cel opracowania – jedynie w stopniu niezbędnym określone zostały wymogi.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walorów architektonicznych i krajobrazowych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Projekt planu miejscowego zapewnia przede wszystkim integrację wszelkich niezbędnych działań podejmowanych w granicach obszaru a także przyległych  w celu: zapewnienia bezpieczeństwa powszechnego a także wymagań ochrony środowiska, w tym obiektów budowlanych. Stosownie do wymaganego zakresu wprowadzono do ustaleń wskaźniki i parametry dla nowej zabudowy na terenie MNU tak, stanowiły kontynuację istniejącego pasma osadniczego wsi Nowa Wieś Niemczańska, przyległego bezpośrednio do granicy obszaru objętego opracowaniem.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Ze względu na położenie w granicach strefy „C: ochrony uzdrowiskowej, plan miejscowy zapewnia niezbędne powierzchnie terenów zielonych i biologicznie czynnych.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ochrona środowiska, w tym gospodarowanie wodami i ochrona gruntów rolnych</w:t>
      </w:r>
    </w:p>
    <w:p>
      <w:pPr>
        <w:pStyle w:val="Normal"/>
        <w:ind w:left="42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ustaleniach  planu miejscowego  ochronę tę uwzględniają i zapewniają ustalenia dotyczące: 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zakazu odprowadzania wód opadowych z terenów utwardzonych w sposób pogarszający stan gleb oraz wód powierzchniowych i podziemnych;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nakazu wyposażenia terenów przeznaczonych do zabudowy w sieci i urządzenia infrastruktury technicznej dla odprowadzania lub gromadzenia ścieków oraz ich oczyszczania;</w:t>
      </w:r>
    </w:p>
    <w:p>
      <w:pPr>
        <w:pStyle w:val="Normal"/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4) </w:t>
        <w:tab/>
        <w:t>nakazu odbioru i gromadzenia odpadów w systemie zorganizowanym, przy stosowaniu na całym obszarze jednolitych zasad - zgodnie z obowiązującymi przepisami o odpadach - w tym obowiązkiem ich wstępnej segregacji;</w:t>
      </w:r>
    </w:p>
    <w:p>
      <w:pPr>
        <w:pStyle w:val="Normal"/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5) </w:t>
        <w:tab/>
        <w:t>zakazu budowy nowych obiektów kubaturowych poza terenami przeznaczonymi w planie na cele inwestycyjne;</w:t>
      </w:r>
    </w:p>
    <w:p>
      <w:pPr>
        <w:pStyle w:val="Normal"/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>6)</w:t>
        <w:tab/>
        <w:t>wprowadzenia zakazu zabudowy oraz zadrzewień wzdłuż istniejącego wzdłuż granicy półn-zach. rowu;</w:t>
      </w:r>
    </w:p>
    <w:p>
      <w:pPr>
        <w:pStyle w:val="Normal"/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>7)</w:t>
        <w:tab/>
        <w:t>poszanowanie wymagań, ustalonych w decyzji właściwego organu w zakresie ochrony bezpośredniej istniejącego ujęcia wody,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  <w:t>oraz obowiązku dostosowania się wszelkich działań inwestycyjnych do przepisów odrębnych z zakresu ochrony środowiska.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  <w:tab/>
        <w:t>Zapisy planu miejscowego ustalają wyposażenie terenu przeznaczonego do zainwestowania w niezbędną infrastrukturę techniczną.</w:t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  <w:tab/>
        <w:t>Ustalenia planu miejscowego optymalnie rozwiązują i zabezpieczają gospodarkę wodami oraz służą przeciwdziałaniu niekontrolowanemu przenikaniu do gruntów wód nieczyszczonych.</w:t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  <w:tab/>
        <w:t xml:space="preserve">Analiza klas gruntów rolnych wykazała, że w obrębie niniejszego planu miejscowego wprawdzie występują grunty rolne klasy IV bonitacyjnej, stąd brak konieczności uzyskiwania stosownej zgody Ministra Rolnictwa na zmianę przeznaczenia gruntów rolnych na cele nierolnicze.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5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ochrona dziedzictwa kulturowego i zabytków oraz dóbr kultury współczesnej</w:t>
      </w:r>
    </w:p>
    <w:p>
      <w:pPr>
        <w:pStyle w:val="Normal"/>
        <w:ind w:left="72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W granicach opracowania planu miejscowego nie występują obiekty i obszary podlegające ochronie z mocy prawa.  Wszelkie ewentualnie potwierdzone znaleziska podlegają ochronie z mocy przepisów powszechnie obowiązujących.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6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ochrona zdrowia oraz bezpieczeństwa ludzi i mienia, a także potrzeb osób niepełnosprawnych</w:t>
      </w:r>
    </w:p>
    <w:p>
      <w:pPr>
        <w:pStyle w:val="Normal"/>
        <w:ind w:left="72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agwek3"/>
        <w:numPr>
          <w:ilvl w:val="0"/>
          <w:numId w:val="0"/>
        </w:numPr>
        <w:tabs>
          <w:tab w:val="left" w:pos="708" w:leader="none"/>
        </w:tabs>
        <w:snapToGrid w:val="false"/>
        <w:ind w:left="360" w:hanging="36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4"/>
        </w:rPr>
        <w:t>1.</w:t>
        <w:tab/>
        <w:t xml:space="preserve">Planowane ograniczenie ilości negatywnych emitorów do środowiska uzyskano poprzez ustalenie następujących nakazów i zakazów dotyczących m.in. </w:t>
      </w:r>
      <w:r>
        <w:rPr>
          <w:rFonts w:ascii="Calibri" w:hAnsi="Calibri"/>
          <w:sz w:val="24"/>
          <w:szCs w:val="28"/>
        </w:rPr>
        <w:t>stosowania rozwiązań i urządzeń opartych wyłącznie o ekologiczne (z wyłączeniem paliw stałych w postaci węgla kamiennego, brunatnego i koksu), odnawialne i niekonwencjonalne źródła energii, z wyłączeniem turbin wiatrowych.</w:t>
      </w:r>
    </w:p>
    <w:p>
      <w:pPr>
        <w:pStyle w:val="Gwka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2"/>
        <w:numPr>
          <w:ilvl w:val="0"/>
          <w:numId w:val="0"/>
        </w:numPr>
        <w:tabs>
          <w:tab w:val="left" w:pos="708" w:leader="none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</w:t>
        <w:tab/>
        <w:t>Zapewnienie bezpieczeństwa ludzi i mienia ustalono poprzez określenie wymogów dotyczących dostępności z dróg publicznych, przyjęcia rozwiązań gwarantujących przyłączenie do istniejącej infrastruktury technicznej, itp.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080" w:leader="none"/>
        </w:tabs>
        <w:ind w:left="1080" w:hanging="36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walorów ekonomicznych przestrzeni</w:t>
      </w:r>
    </w:p>
    <w:p>
      <w:pPr>
        <w:pStyle w:val="Normal"/>
        <w:ind w:left="36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Ustalenia przedmiotowego planu miejscowego mają ewidentny wpływ na podniesienie walorów ekonomicznych przestrzeni poprzez bezpośrednie powiązanie przestrzeni istniejącej struktury zurbanizowanej z przestrzenią planowanego rozwoju terenów inwestycyjnych, jak i w aspekcie powiązań  komunikacyjnych i infrastrukturalnych. Wyznaczone tereny zielone oddzielające istniejące i planowane obiekty i urządzenia związane z ujęciem wody korzystnie wpłyną na potencjalne walory wyznaczonych terenów mieszkalno - usługowych.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8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prawo własności</w:t>
      </w:r>
    </w:p>
    <w:p>
      <w:pPr>
        <w:pStyle w:val="Normal"/>
        <w:ind w:left="72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Po szczegółowej analizie stanu własności należy stwierdzić, że plan miejscowy w pełni zachowuje stan dotychczasowy, nie notuje się ingerencji w stosunki własnościowe w sposób ponadnormatywny – obszar objęty planem stanowi własność komunalną gminy, który w przyszłości może być potencjalnym źródłem dochodu.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1080" w:leader="none"/>
        </w:tabs>
        <w:ind w:left="1440" w:hanging="72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potrzeby obronności i bezpieczeństwa państwa  </w:t>
      </w:r>
    </w:p>
    <w:p>
      <w:pPr>
        <w:pStyle w:val="Normal"/>
        <w:tabs>
          <w:tab w:val="clear" w:pos="708"/>
          <w:tab w:val="left" w:pos="1080" w:leader="none"/>
        </w:tabs>
        <w:ind w:left="1080" w:hanging="720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  <w:t>nie występują</w:t>
      </w:r>
    </w:p>
    <w:p>
      <w:pPr>
        <w:pStyle w:val="Normal"/>
        <w:tabs>
          <w:tab w:val="clear" w:pos="708"/>
          <w:tab w:val="left" w:pos="1080" w:leader="none"/>
        </w:tabs>
        <w:ind w:hanging="7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1080" w:leader="none"/>
        </w:tabs>
        <w:ind w:left="1440" w:hanging="72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potrzeby interesu publicznego</w:t>
      </w:r>
    </w:p>
    <w:p>
      <w:pPr>
        <w:pStyle w:val="Normal"/>
        <w:ind w:left="108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firstLine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wymogami ustawowymi ład przestrzenny i zrównoważony rozwój stanowią podstawę określania zasad kształtowania polityki przestrzennej oraz kierunki kształtowania polityki przestrzennej i zasad jej realizacji, jako podstawowy kierunek działania wskazując ochronę interesu publicznego, w tym przeciwdziałanie zawłaszczaniu przestrzeni publicznej i troskę o przestrzenie publiczne. W publikacjach podkreśla się również, że: </w:t>
      </w:r>
      <w:r>
        <w:rPr>
          <w:rFonts w:ascii="Calibri" w:hAnsi="Calibri"/>
          <w:i/>
        </w:rPr>
        <w:t>"Interes publiczny obejmuje również eliminowanie strat ekonomicznych, zwłaszcza ryzyka nieuzasadnionego marnotrawienia przestrzeni i nieracjonalnego zużycia zasobów środowiska, co winno być gwarantowane poprzez respektowanie szeroko rozumianego ładu przestrzennego jako atrybutu konstytucyjnie gwarantowanego rozwoju zrównoważonego"</w:t>
      </w:r>
      <w:r>
        <w:rPr>
          <w:rFonts w:ascii="Calibri" w:hAnsi="Calibri"/>
        </w:rPr>
        <w:t>.</w:t>
      </w:r>
    </w:p>
    <w:p>
      <w:pPr>
        <w:pStyle w:val="Normal"/>
        <w:ind w:firstLine="425"/>
        <w:jc w:val="both"/>
        <w:rPr>
          <w:rFonts w:ascii="Calibri" w:hAnsi="Calibri"/>
        </w:rPr>
      </w:pPr>
      <w:r>
        <w:rPr>
          <w:rFonts w:ascii="Calibri" w:hAnsi="Calibri"/>
        </w:rPr>
        <w:t>Kategoria interesu publicznego obejmuje prawie wszystkie okoliczności wymienione w tym przepisie, poza prawem własności, to bowiem jest, gdy idzie o własność prywatną, nierozerwalnie związane z kategorią interesu prywatnego.</w:t>
      </w:r>
    </w:p>
    <w:p>
      <w:pPr>
        <w:pStyle w:val="Normal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Zgodnie z przepisami ustawy o samorządzie gminnym (art.7 pkt 1) zaspokojenie zbiorowych potrzeb wspólnoty, m.in. w zakresie zaopatrzenia w wodę jest zadaniem własnym gminy i stanowi cel publiczny w rozumieniu ustawy o gospodarce nieruchomościami. Można zatem stwierdzić, że przedmiotowy projekt planu miejscowego rozstrzyga  o wszystkich aspektach mających ogólny wpływ na interes publiczny, o czym także jest mowa w poszczególnych tezach niniejszego uzasadnienia. Jednakże, że względu na stwierdzony charakter własności nieruchomości objętych planem i brak wyznaczonych przestrzeni publicznych – dokument planistyczny nie formułuje ustaleń odnoszących się w sposób szczególny do interesu publicznego.</w:t>
      </w:r>
    </w:p>
    <w:p>
      <w:pPr>
        <w:pStyle w:val="Normal"/>
        <w:ind w:left="36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1080" w:leader="none"/>
        </w:tabs>
        <w:ind w:left="1080" w:hanging="36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potrzeby w zakresie rozwoju infrastruktury technicznej, w szczególności sieci szerokopasmowych</w:t>
      </w:r>
    </w:p>
    <w:p>
      <w:pPr>
        <w:pStyle w:val="Normal"/>
        <w:ind w:left="108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Plan miejscowy, poprzez swoje ustalenia, zabezpiecza potrzeby w zakresie rozwoju infrastruktury technicznej,  również dla terenów rozwojowych przeznaczonych pod zainwestowanie, nie wprowadza zakazów dotyczących lokalizacji urządzeń służących rozwojowi sieci szerokopasmowych.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10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zapewnienie udziału społeczeństwa w pracach nad miejscowym planem zagospodarowana przestrzennego, w tym przy użyciu środków komunikacji elektronicznej</w:t>
      </w:r>
    </w:p>
    <w:p>
      <w:pPr>
        <w:pStyle w:val="Normal"/>
        <w:ind w:left="72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1.</w:t>
        <w:tab/>
        <w:t>Zgodnie z art. 17 pkt 1 ustawy z dnia 27 marca 2003 r. o planowaniu i zagospodarowaniu przestrzennym (Dz. U. z 2015 r. poz. 199 ze zmianami) przed przystąpieniem do sporządzenia projektu planu miejscowego zwrócono się do społeczeństwa stosownym obwieszczeniem na tablicy ogłoszeń Urzędu Miasta i Gminy Niemcza oraz ogłoszeniem umieszczonym w miejscowej prasie, a także na stronie internetowej Urzędu, w których poinformowano o możliwości składania wniosków w sprawie (obwieszczenie i ogłoszenie prasowe: zbieranie wniosków do dnia 01 marca 2021 r.).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art. 17 pkt 9 w/w ustawy, analogicznie jak wyżej za pośrednictwem obwieszczenia, ogłoszenia i strony internetowej, poinformowane zostanie społeczeństwo o planowanym wyłożeniu do wglądu publicznego projektu przedmiotowego planu miejscowego wraz z prognozą środowiskową w celu zapoznania się z przyjętymi rozwiązaniami planistycznymi, oraz o możliwości składania uwag w sprawie (wyłożenie do publicznego wglądu w dniach: ……………, zbieranie uwag do dnia…………...).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Kolejne fazy sporządzania zostaną przeprowadzone zgodnie z wymogami u.p.z.p.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1"/>
          <w:numId w:val="10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zachowanie jawności i przejrzystości procedur planistycznych</w:t>
      </w:r>
    </w:p>
    <w:p>
      <w:pPr>
        <w:pStyle w:val="Normal"/>
        <w:ind w:left="72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Przebieg sporządzania projektu planu miejcowego i przeprowadzania związanych z nim procedur jest zgodny z przepisami ustawy o planowaniu i zagospodarowaniu przestrzennym i jest na wszystkich etapach pracy jawny i dostępny dla społeczeństwa. Stosowne potwierdzenia gromadzone są w dokumentacji planistycznej opracowania.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Normal"/>
        <w:numPr>
          <w:ilvl w:val="1"/>
          <w:numId w:val="10"/>
        </w:numPr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  <w:t>potrzeba zapewnienia odpowiedniej ilości i jakości wody, do celów zaopatrzenia ludności</w:t>
      </w:r>
    </w:p>
    <w:p>
      <w:pPr>
        <w:pStyle w:val="Normal"/>
        <w:ind w:left="720" w:hanging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Mając na uwadze, iż przedmiotowy plan miejscowy przeznacza niewielki procent powierzchni obszaru objętego planem na cele rozwojowe z zakresu mieszkalnictwa indywidualnego z jednoczesną rozbudową gminnej sieci wodociągowej, zaopatrzenie ludności w  odpowiednią ilość i jakość wody będzie w pełni zabezpieczone. Ze względu na położenie obszaru w strefie wiejskiej, plan miejscowy dopuszcza możliwość realizowania alternatywnych źródeł zaopatrzenia w wodę, stosownie do obowiązujących przepisów odrębnych.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B.</w:t>
      </w:r>
      <w:r>
        <w:rPr>
          <w:rFonts w:ascii="Calibri" w:hAnsi="Calibri"/>
        </w:rPr>
        <w:tab/>
        <w:t xml:space="preserve">Odnośnie sposobu realizacji wymogów, o których mowa w </w:t>
      </w:r>
      <w:r>
        <w:rPr>
          <w:rFonts w:ascii="Calibri" w:hAnsi="Calibri"/>
          <w:b/>
        </w:rPr>
        <w:t>art. 1 ust. 3</w:t>
      </w:r>
      <w:r>
        <w:rPr>
          <w:rFonts w:ascii="Calibri" w:hAnsi="Calibri"/>
        </w:rPr>
        <w:t xml:space="preserve">  ustawy stwierdza się, iż w trakcie sporządzania projektu planu miejscowego wzięto pod uwagę zarówno interes prywatny jak i publiczny i uwzględniono je w sposobie rozpatrzenia wniosków. Sposób rozpatrzenia wniosków złożonych do projektu planu miejscowego został określony w dokumencie planistycznym pn. Rozpatrzenie wniosków złożonych do sporządzanego projektu planu. Podstawą do przyjętych rozwiązań były, oprócz materiałów wyjściowych do sporządzenia projektu planu miejscowego, także opracowania: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2"/>
          <w:numId w:val="9"/>
        </w:numPr>
        <w:tabs>
          <w:tab w:val="clear" w:pos="708"/>
          <w:tab w:val="left" w:pos="840" w:leader="none"/>
        </w:tabs>
        <w:ind w:left="840" w:hanging="480"/>
        <w:jc w:val="both"/>
        <w:rPr>
          <w:rFonts w:ascii="Calibri" w:hAnsi="Calibri"/>
        </w:rPr>
      </w:pPr>
      <w:r>
        <w:rPr>
          <w:rFonts w:ascii="Calibri" w:hAnsi="Calibri"/>
        </w:rPr>
        <w:t>Prognoza oddziaływania na środowisko, w której w podsumowaniu stwierdzono, że:</w:t>
      </w:r>
    </w:p>
    <w:p>
      <w:pPr>
        <w:pStyle w:val="Normal"/>
        <w:numPr>
          <w:ilvl w:val="3"/>
          <w:numId w:val="9"/>
        </w:numPr>
        <w:tabs>
          <w:tab w:val="clear" w:pos="708"/>
          <w:tab w:val="left" w:pos="1200" w:leader="none"/>
        </w:tabs>
        <w:ind w:left="120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rozwiązania przyjęte w projekcie planu miejscowego uznaje się za dopuszczalne z punktu widzenia gospodarki przestrzennej i ładu przestrzennego oraz ochrony środowiska przyrodniczego i kulturowego, </w:t>
      </w:r>
    </w:p>
    <w:p>
      <w:pPr>
        <w:pStyle w:val="Normal"/>
        <w:numPr>
          <w:ilvl w:val="3"/>
          <w:numId w:val="9"/>
        </w:numPr>
        <w:tabs>
          <w:tab w:val="clear" w:pos="708"/>
          <w:tab w:val="left" w:pos="1200" w:leader="none"/>
        </w:tabs>
        <w:ind w:left="1200" w:hanging="360"/>
        <w:jc w:val="both"/>
        <w:rPr>
          <w:rFonts w:ascii="Calibri" w:hAnsi="Calibri"/>
        </w:rPr>
      </w:pPr>
      <w:r>
        <w:rPr>
          <w:rFonts w:ascii="Calibri" w:hAnsi="Calibri"/>
        </w:rPr>
        <w:t>wyznaczenie nowych terenów pod zainwestowanie, z uwagi na ich bezpośrednie  powiązanie z istniejącą zabudową wsi Nowa Wieś Niemczańska, pozwoli na racjonalne i ekonomiczne zaopatrzenie planowanych terenów w infrastrukturę techniczną,</w:t>
      </w:r>
    </w:p>
    <w:p>
      <w:pPr>
        <w:pStyle w:val="Normal"/>
        <w:numPr>
          <w:ilvl w:val="3"/>
          <w:numId w:val="9"/>
        </w:numPr>
        <w:tabs>
          <w:tab w:val="clear" w:pos="708"/>
          <w:tab w:val="left" w:pos="1200" w:leader="none"/>
        </w:tabs>
        <w:ind w:left="1200" w:hanging="360"/>
        <w:jc w:val="both"/>
        <w:rPr>
          <w:rFonts w:ascii="Calibri" w:hAnsi="Calibri"/>
        </w:rPr>
      </w:pPr>
      <w:r>
        <w:rPr>
          <w:rFonts w:ascii="Calibri" w:hAnsi="Calibri"/>
        </w:rPr>
        <w:t>w prognozie stwierdza się, iż planowane zainwestowanie nie wpłynie negatywnie na środowisko obszarów sąsiadujących. Obszar objęty przedmiotowym planem miejscowym nie narusza ustaleń zawartych w funkcjonujących planach miejscowego na terenach przyległych, które zachowują swoje przeznaczenie rolnicze bądź mieszkaniowe wsi. Obszar „Wzgórz Niemczańskich” objęty ochroną z mocy przepisów odrębnych nie sąsiaduje z obszarem objętym niniejszym opracowaniem.</w:t>
      </w:r>
    </w:p>
    <w:p>
      <w:pPr>
        <w:pStyle w:val="Normal"/>
        <w:ind w:left="84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2"/>
          <w:numId w:val="9"/>
        </w:numPr>
        <w:tabs>
          <w:tab w:val="clear" w:pos="708"/>
          <w:tab w:val="left" w:pos="840" w:leader="none"/>
        </w:tabs>
        <w:ind w:left="840" w:hanging="480"/>
        <w:jc w:val="both"/>
        <w:rPr>
          <w:rFonts w:ascii="Calibri" w:hAnsi="Calibri"/>
        </w:rPr>
      </w:pPr>
      <w:r>
        <w:rPr>
          <w:rFonts w:ascii="Calibri" w:hAnsi="Calibri"/>
        </w:rPr>
        <w:t>Prognoza skutków finansowych wynikających z przyjętych rozwiązań, w której podsumowaniu stwierdzono, że w wyniku założeń wymienionych w niniejszej prognozie przewiduje się, że nie wystąpią skutki finansowe wynikające z ustaleń planu miejscowego, których bilans nakładów i dochodów prognozowanych w czasokresie podanym w prognozie jest ujemny, jednak w wyniku ustaleń określonych w planie miejscowym należy się spodziewać, że w dalszej perspektywie czasowej, nastąpi wzrost wpływów finansowych z tytułu sprzedaży gruntów oraz w konsekwencji także powstałych w wyniku realizacji planu budynków i nowo tworzonych podmiotów gospodarczych,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C.</w:t>
      </w:r>
      <w:r>
        <w:rPr>
          <w:rFonts w:ascii="Calibri" w:hAnsi="Calibri"/>
        </w:rPr>
        <w:tab/>
        <w:t xml:space="preserve">Odnośnie sposobu realizacji wymogów, o których mowa w </w:t>
      </w:r>
      <w:r>
        <w:rPr>
          <w:rFonts w:ascii="Calibri" w:hAnsi="Calibri"/>
          <w:b/>
        </w:rPr>
        <w:t>art. 1 ust. 4</w:t>
      </w:r>
      <w:r>
        <w:rPr>
          <w:rFonts w:ascii="Calibri" w:hAnsi="Calibri"/>
        </w:rPr>
        <w:t xml:space="preserve"> ustawy,  stwierdza się iż w przedmiotowym planie miejscowym: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kształtowanie struktur przestrzennych podporządkowane zostało minimalizowaniu transportochłonności układu przestrzennego,</w:t>
      </w:r>
    </w:p>
    <w:p>
      <w:pPr>
        <w:pStyle w:val="Normal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nie było potrzeby określenia ustaleń zapewniających mieszkańcom transport zbiorowy,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W kwestii zgodności przyjętych w planie rozwiązań z wynikami analizy, o której mowa w art. 32 ust. 1 ustawy stwierdza się, że wnioski o dokonanie zmian w obowiązującym dokumencie planistycznym nie funkcjonowały w dacie przyjmowania stosownej „Oceny….”, dodać zaś należy, że przedmiotowa zmiana planu miejscowego nie narusza ustaleń „Studium uwarunkowań i kierunków zagospodarowania Gminy Niemcza”.</w:t>
      </w:r>
    </w:p>
    <w:p>
      <w:pPr>
        <w:pStyle w:val="Normal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Przeprowadzona Ocena studium uwarunkowań i kierunków zagospodarowania przestrzennego Gminy Niemcza przyjęta Uchwałą …………. Rady Miejskiej w Niemczy z dnia ……….., nie wskazała na potrzebę przeprowadzenia aktualizacji Studium uwarunkowań i kierunków zagospodarowania przestrzennego.  </w:t>
      </w:r>
    </w:p>
    <w:p>
      <w:pPr>
        <w:pStyle w:val="Normal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 przystąpieniem do sporządzenia przedmiotowego miejscowego planu zagospodarowania przestrzennego przeanalizowano wnioski w sprawie sporządzenia zmiany obowiązującego planu, których przesłanki uwzględniono w planie miejscowym i potwierdzono, że nie naruszały one ustaleń studium.   </w:t>
      </w:r>
    </w:p>
    <w:p>
      <w:pPr>
        <w:pStyle w:val="Normal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Uchwalenie przedmiotowego planu miejscowego stworzy podstawę prawną do lokalizowania inwestycji w nim dopuszczonych, wpłynie na dalszy zrównoważony rozwój terenu oraz przyczyni się do uzyskania w dalszej perspektywie czasowej wpływów finansowych do budżetu gminy.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D.</w:t>
      </w:r>
      <w:r>
        <w:rPr>
          <w:rFonts w:ascii="Calibri" w:hAnsi="Calibri"/>
        </w:rPr>
        <w:tab/>
        <w:t>Procedura opiniowania i uzgadniania projektu MPZP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Na etapie opiniowania i uzgadniania projektu planu miejscowego wpłynęła opinia od TAURON Dystrybucja, zawierająca uwagi do tekstu uchwały. Ze względu na charakter wnioskowanych uwag, uwzględnienie których spowodowałoby przekroczenie kompetencji gminy w zakresie stanowienia prawa miejscowego, bądź naruszenie przepisów szczególnych zakazujących wprowadzania regulacji zawartych w aktach wyższego rzędu, nie zostały one uwzględnione.</w:t>
      </w:r>
    </w:p>
    <w:p>
      <w:pPr>
        <w:pStyle w:val="Normal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Postanowieniem (O.WR.Z-3.438.28.2021.js.1) z dnia 28. 04. 2021 Generalny Dyrektor Dróg Krajowych i Autostrad odmówiła uzgodnienia przedłożonego projektu planu miejscowego, uzasadniając to bliskością skrzyżowania o ograniczonej widoczności. Lokalizacja na obszarze zabudowy mieszkaniowo – usługowej w sposób znaczący wpłynie na stan bezpieczeństwa na drodze krajowej. Gmina złożyła zażalenie na podjęta decyzją, uzasadniając to wcześniejszą pozytywną opinią GDDKiA do Studium uwarunkowań i kierunków zagospodarowania przestrzennego miasta i Gminy Niemcza, które to Studium uwzględniało teren mieszkaniowy wzdłuż drogi DK8. W wynika zażalenia organ dróg krajowych i autostrad ponownie odmówił uzgodnienia projektu planu miejscowego, wskazując jednocześnie  warunki, jakie należy spełnić, by móc uzyskać pozytywne stanowisko organu.</w:t>
      </w:r>
    </w:p>
    <w:p>
      <w:pPr>
        <w:pStyle w:val="Normal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z powyższym gmina dokonała stosownej korekty projektu planu miejscowego rezygnując z </w:t>
      </w:r>
      <w:bookmarkStart w:id="0" w:name="_GoBack"/>
      <w:bookmarkEnd w:id="0"/>
      <w:r>
        <w:rPr>
          <w:rFonts w:ascii="Calibri" w:hAnsi="Calibri"/>
        </w:rPr>
        <w:t xml:space="preserve">przeznaczenia części obszaru na cele mieszkaniowo - usługowe i ponowiła czynności wynikające z art. 17 pkt 6 b) ustawy o planowaniu i zagospodarowaniu przestrzennym. </w:t>
      </w:r>
    </w:p>
    <w:p>
      <w:pPr>
        <w:pStyle w:val="Normal"/>
        <w:ind w:left="108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/>
      </w:pPr>
      <w:r>
        <w:rPr>
          <w:rFonts w:ascii="Calibri" w:hAnsi="Calibri"/>
        </w:rPr>
        <w:t>Burmistrz Miasta i Gminy Niemczy</w:t>
      </w:r>
    </w:p>
    <w:sectPr>
      <w:footerReference w:type="default" r:id="rId2"/>
      <w:type w:val="nextPage"/>
      <w:pgSz w:w="11906" w:h="16838"/>
      <w:pgMar w:left="1134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D9D9D9"/>
      </w:pBdr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</w:t>
    </w:r>
    <w:r>
      <w:rPr/>
      <w:t xml:space="preserve">| </w:t>
    </w:r>
    <w:r>
      <w:rPr>
        <w:color w:val="7F7F7F"/>
        <w:spacing w:val="60"/>
      </w:rPr>
      <w:t>Strona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§%1."/>
      <w:lvlJc w:val="left"/>
      <w:pPr>
        <w:tabs>
          <w:tab w:val="num" w:pos="470"/>
        </w:tabs>
        <w:ind w:left="11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"/>
        <w:sz w:val="2"/>
        <w:spacing w:val="0"/>
        <w:i w:val="false"/>
        <w:shadow w:val="false"/>
        <w:u w:val="none"/>
        <w:b w:val="false"/>
        <w:kern w:val="0"/>
        <w:effect w:val="none"/>
        <w:szCs w:val="2"/>
        <w:iCs w:val="false"/>
        <w:bCs w:val="false"/>
        <w:w w:val="1"/>
        <w:emboss w:val="false"/>
        <w:imprint w:val="false"/>
        <w:vanish w:val="false"/>
        <w:rFonts w:cs="Times New Roman"/>
        <w:color w:val="000000"/>
      </w:rPr>
    </w:lvl>
    <w:lvl w:ilvl="1">
      <w:start w:val="1"/>
      <w:pStyle w:val="Nagwek2"/>
      <w:numFmt w:val="decimal"/>
      <w:lvlText w:val="%2."/>
      <w:lvlJc w:val="left"/>
      <w:pPr>
        <w:tabs>
          <w:tab w:val="num" w:pos="690"/>
        </w:tabs>
        <w:ind w:left="33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shadow w:val="false"/>
        <w:u w:val="none"/>
        <w:b w:val="false"/>
        <w:kern w:val="0"/>
        <w:effect w:val="none"/>
        <w:szCs w:val="2"/>
        <w:iCs w:val="false"/>
        <w:bCs w:val="false"/>
        <w:w w:val="1"/>
        <w:emboss w:val="false"/>
        <w:imprint w:val="false"/>
        <w:vanish w:val="false"/>
        <w:rFonts w:eastAsia="Times New Roman" w:cs="Times New Roman"/>
        <w:color w:val="auto"/>
      </w:rPr>
    </w:lvl>
    <w:lvl w:ilvl="2">
      <w:start w:val="1"/>
      <w:pStyle w:val="Nagwek3"/>
      <w:numFmt w:val="decimal"/>
      <w:lvlText w:val="%3."/>
      <w:lvlJc w:val="left"/>
      <w:pPr>
        <w:tabs>
          <w:tab w:val="num" w:pos="470"/>
        </w:tabs>
        <w:ind w:left="110" w:hanging="0"/>
      </w:pPr>
      <w:rPr>
        <w:dstrike w:val="false"/>
        <w:strike w:val="false"/>
        <w:sz w:val="28"/>
        <w:i w:val="false"/>
        <w:u w:val="none"/>
        <w:b w:val="false"/>
        <w:effect w:val="none"/>
        <w:szCs w:val="22"/>
        <w:rFonts w:eastAsia="Times New Roman" w:cs="Times New Roman"/>
        <w:color w:val="auto"/>
      </w:rPr>
    </w:lvl>
    <w:lvl w:ilvl="3">
      <w:start w:val="1"/>
      <w:pStyle w:val="Nagwek4"/>
      <w:numFmt w:val="decimal"/>
      <w:lvlText w:val="%4)"/>
      <w:lvlJc w:val="left"/>
      <w:pPr>
        <w:tabs>
          <w:tab w:val="num" w:pos="800"/>
        </w:tabs>
        <w:ind w:left="44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"/>
        <w:sz w:val="2"/>
        <w:spacing w:val="0"/>
        <w:i w:val="false"/>
        <w:shadow w:val="false"/>
        <w:u w:val="none"/>
        <w:b w:val="false"/>
        <w:kern w:val="0"/>
        <w:effect w:val="none"/>
        <w:szCs w:val="2"/>
        <w:iCs w:val="false"/>
        <w:bCs w:val="false"/>
        <w:w w:val="1"/>
        <w:emboss w:val="false"/>
        <w:imprint w:val="false"/>
        <w:vanish w:val="false"/>
        <w:rFonts w:eastAsia="Times New Roman" w:cs="Times New Roman"/>
        <w:color w:val="000000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Letter"/>
      <w:lvlText w:val="(%6)"/>
      <w:lvlJc w:val="left"/>
      <w:pPr>
        <w:tabs>
          <w:tab w:val="num" w:pos="2880"/>
        </w:tabs>
        <w:ind w:left="2520" w:hanging="0"/>
      </w:pPr>
      <w:rPr>
        <w:rFonts w:cs="Times New Roman"/>
      </w:rPr>
    </w:lvl>
    <w:lvl w:ilvl="6">
      <w:start w:val="1"/>
      <w:pStyle w:val="Nagwek7"/>
      <w:numFmt w:val="lowerRoman"/>
      <w:lvlText w:val="(%7)"/>
      <w:lvlJc w:val="left"/>
      <w:pPr>
        <w:tabs>
          <w:tab w:val="num" w:pos="3600"/>
        </w:tabs>
        <w:ind w:left="3240" w:hanging="0"/>
      </w:pPr>
      <w:rPr>
        <w:rFonts w:cs="Times New Roman"/>
      </w:rPr>
    </w:lvl>
    <w:lvl w:ilvl="7">
      <w:start w:val="1"/>
      <w:pStyle w:val="Nagwek8"/>
      <w:numFmt w:val="lowerLetter"/>
      <w:lvlText w:val="(%8)"/>
      <w:lvlJc w:val="left"/>
      <w:pPr>
        <w:tabs>
          <w:tab w:val="num" w:pos="4320"/>
        </w:tabs>
        <w:ind w:left="3960" w:hanging="0"/>
      </w:pPr>
      <w:rPr>
        <w:rFonts w:cs="Times New Roman"/>
      </w:rPr>
    </w:lvl>
    <w:lvl w:ilvl="8">
      <w:start w:val="1"/>
      <w:pStyle w:val="Nagwek9"/>
      <w:numFmt w:val="lowerRoman"/>
      <w:lvlText w:val="(%9)"/>
      <w:lvlJc w:val="left"/>
      <w:pPr>
        <w:tabs>
          <w:tab w:val="num" w:pos="5040"/>
        </w:tabs>
        <w:ind w:left="468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"/>
      <w:lvlJc w:val="left"/>
      <w:pPr>
        <w:tabs>
          <w:tab w:val="num" w:pos="780"/>
        </w:tabs>
        <w:ind w:left="780" w:hanging="360"/>
      </w:pPr>
      <w:rPr>
        <w:b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"/>
      <w:lvlJc w:val="left"/>
      <w:pPr>
        <w:tabs>
          <w:tab w:val="num" w:pos="1080"/>
        </w:tabs>
        <w:ind w:left="1080" w:hanging="360"/>
      </w:pPr>
      <w:rPr>
        <w:b/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"/>
      <w:lvlJc w:val="left"/>
      <w:pPr>
        <w:tabs>
          <w:tab w:val="num" w:pos="1080"/>
        </w:tabs>
        <w:ind w:left="1080" w:hanging="360"/>
      </w:pPr>
      <w:rPr>
        <w:b/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"/>
      <w:lvlJc w:val="left"/>
      <w:pPr>
        <w:tabs>
          <w:tab w:val="num" w:pos="720"/>
        </w:tabs>
        <w:ind w:left="720" w:hanging="360"/>
      </w:pPr>
      <w:rPr>
        <w:b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"/>
      <w:lvlJc w:val="left"/>
      <w:pPr>
        <w:tabs>
          <w:tab w:val="num" w:pos="1080"/>
        </w:tabs>
        <w:ind w:left="1080" w:hanging="360"/>
      </w:pPr>
      <w:rPr>
        <w:b/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"/>
      <w:lvlJc w:val="left"/>
      <w:pPr>
        <w:tabs>
          <w:tab w:val="num" w:pos="1440"/>
        </w:tabs>
        <w:ind w:left="1440" w:hanging="360"/>
      </w:pPr>
      <w:rPr>
        <w:b/>
        <w:rFonts w:ascii="Calibri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"/>
      <w:lvlJc w:val="left"/>
      <w:pPr>
        <w:tabs>
          <w:tab w:val="num" w:pos="1080"/>
        </w:tabs>
        <w:ind w:left="1080" w:hanging="360"/>
      </w:pPr>
      <w:rPr>
        <w:b/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221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50f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e750f8"/>
    <w:pPr>
      <w:numPr>
        <w:ilvl w:val="0"/>
        <w:numId w:val="1"/>
      </w:numPr>
      <w:suppressLineNumbers/>
      <w:snapToGrid w:val="false"/>
      <w:jc w:val="both"/>
      <w:outlineLvl w:val="0"/>
    </w:pPr>
    <w:rPr>
      <w:sz w:val="22"/>
    </w:rPr>
  </w:style>
  <w:style w:type="paragraph" w:styleId="Nagwek2">
    <w:name w:val="Heading 2"/>
    <w:basedOn w:val="Normal"/>
    <w:next w:val="Normal"/>
    <w:link w:val="Nagwek2Znak"/>
    <w:uiPriority w:val="99"/>
    <w:qFormat/>
    <w:rsid w:val="00e750f8"/>
    <w:pPr>
      <w:numPr>
        <w:ilvl w:val="1"/>
        <w:numId w:val="1"/>
      </w:numPr>
      <w:suppressLineNumbers/>
      <w:snapToGrid w:val="false"/>
      <w:jc w:val="both"/>
      <w:outlineLvl w:val="1"/>
    </w:pPr>
    <w:rPr>
      <w:sz w:val="22"/>
    </w:rPr>
  </w:style>
  <w:style w:type="paragraph" w:styleId="Nagwek3">
    <w:name w:val="Heading 3"/>
    <w:basedOn w:val="Normal"/>
    <w:next w:val="Normal"/>
    <w:link w:val="Nagwek3Znak"/>
    <w:uiPriority w:val="99"/>
    <w:qFormat/>
    <w:rsid w:val="00e750f8"/>
    <w:pPr>
      <w:numPr>
        <w:ilvl w:val="2"/>
        <w:numId w:val="1"/>
      </w:numPr>
      <w:suppressLineNumbers/>
      <w:jc w:val="both"/>
      <w:outlineLvl w:val="2"/>
    </w:pPr>
    <w:rPr>
      <w:sz w:val="22"/>
    </w:rPr>
  </w:style>
  <w:style w:type="paragraph" w:styleId="Nagwek4">
    <w:name w:val="Heading 4"/>
    <w:basedOn w:val="Normal"/>
    <w:next w:val="Normal"/>
    <w:link w:val="Nagwek4Znak"/>
    <w:uiPriority w:val="99"/>
    <w:qFormat/>
    <w:rsid w:val="00e750f8"/>
    <w:pPr>
      <w:numPr>
        <w:ilvl w:val="3"/>
        <w:numId w:val="1"/>
      </w:numPr>
      <w:suppressLineNumbers/>
      <w:snapToGrid w:val="false"/>
      <w:jc w:val="both"/>
      <w:outlineLvl w:val="3"/>
    </w:pPr>
    <w:rPr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9"/>
    <w:qFormat/>
    <w:rsid w:val="00e750f8"/>
    <w:pPr>
      <w:keepNext w:val="true"/>
      <w:numPr>
        <w:ilvl w:val="5"/>
        <w:numId w:val="1"/>
      </w:numPr>
      <w:outlineLvl w:val="5"/>
    </w:pPr>
    <w:rPr>
      <w:b/>
      <w:sz w:val="26"/>
      <w:szCs w:val="20"/>
    </w:rPr>
  </w:style>
  <w:style w:type="paragraph" w:styleId="Nagwek7">
    <w:name w:val="Heading 7"/>
    <w:basedOn w:val="Normal"/>
    <w:next w:val="Normal"/>
    <w:link w:val="Nagwek7Znak"/>
    <w:uiPriority w:val="99"/>
    <w:qFormat/>
    <w:rsid w:val="00e750f8"/>
    <w:pPr>
      <w:keepNext w:val="true"/>
      <w:numPr>
        <w:ilvl w:val="6"/>
        <w:numId w:val="1"/>
      </w:numPr>
      <w:jc w:val="center"/>
      <w:outlineLvl w:val="6"/>
    </w:pPr>
    <w:rPr>
      <w:b/>
      <w:i/>
      <w:sz w:val="28"/>
      <w:szCs w:val="20"/>
    </w:rPr>
  </w:style>
  <w:style w:type="paragraph" w:styleId="Nagwek8">
    <w:name w:val="Heading 8"/>
    <w:basedOn w:val="Normal"/>
    <w:next w:val="Normal"/>
    <w:link w:val="Nagwek8Znak"/>
    <w:uiPriority w:val="99"/>
    <w:qFormat/>
    <w:rsid w:val="00e750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link w:val="Nagwek9Znak"/>
    <w:uiPriority w:val="99"/>
    <w:qFormat/>
    <w:rsid w:val="00e750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e750f8"/>
    <w:rPr>
      <w:rFonts w:ascii="Times New Roman" w:hAnsi="Times New Roman" w:cs="Times New Roman"/>
      <w:sz w:val="24"/>
      <w:szCs w:val="24"/>
      <w:lang w:eastAsia="pl-PL"/>
    </w:rPr>
  </w:style>
  <w:style w:type="character" w:styleId="Nagwek2Znak" w:customStyle="1">
    <w:name w:val="Nagłówek 2 Znak"/>
    <w:link w:val="Nagwek2"/>
    <w:uiPriority w:val="99"/>
    <w:semiHidden/>
    <w:qFormat/>
    <w:locked/>
    <w:rsid w:val="00e750f8"/>
    <w:rPr>
      <w:rFonts w:ascii="Times New Roman" w:hAnsi="Times New Roman" w:cs="Times New Roman"/>
      <w:sz w:val="24"/>
      <w:szCs w:val="24"/>
      <w:lang w:eastAsia="pl-PL"/>
    </w:rPr>
  </w:style>
  <w:style w:type="character" w:styleId="Nagwek3Znak" w:customStyle="1">
    <w:name w:val="Nagłówek 3 Znak"/>
    <w:link w:val="Nagwek3"/>
    <w:uiPriority w:val="99"/>
    <w:semiHidden/>
    <w:qFormat/>
    <w:locked/>
    <w:rsid w:val="00e750f8"/>
    <w:rPr>
      <w:rFonts w:ascii="Times New Roman" w:hAnsi="Times New Roman" w:cs="Times New Roman"/>
      <w:sz w:val="24"/>
      <w:szCs w:val="24"/>
      <w:lang w:eastAsia="pl-PL"/>
    </w:rPr>
  </w:style>
  <w:style w:type="character" w:styleId="Nagwek4Znak" w:customStyle="1">
    <w:name w:val="Nagłówek 4 Znak"/>
    <w:link w:val="Nagwek4"/>
    <w:uiPriority w:val="99"/>
    <w:semiHidden/>
    <w:qFormat/>
    <w:locked/>
    <w:rsid w:val="00e750f8"/>
    <w:rPr>
      <w:rFonts w:ascii="Times New Roman" w:hAnsi="Times New Roman" w:cs="Times New Roman"/>
      <w:lang w:eastAsia="pl-PL"/>
    </w:rPr>
  </w:style>
  <w:style w:type="character" w:styleId="Nagwek6Znak" w:customStyle="1">
    <w:name w:val="Nagłówek 6 Znak"/>
    <w:link w:val="Nagwek6"/>
    <w:uiPriority w:val="99"/>
    <w:semiHidden/>
    <w:qFormat/>
    <w:locked/>
    <w:rsid w:val="00e750f8"/>
    <w:rPr>
      <w:rFonts w:ascii="Times New Roman" w:hAnsi="Times New Roman" w:cs="Times New Roman"/>
      <w:b/>
      <w:sz w:val="20"/>
      <w:szCs w:val="20"/>
      <w:lang w:eastAsia="pl-PL"/>
    </w:rPr>
  </w:style>
  <w:style w:type="character" w:styleId="Nagwek7Znak" w:customStyle="1">
    <w:name w:val="Nagłówek 7 Znak"/>
    <w:link w:val="Nagwek7"/>
    <w:uiPriority w:val="99"/>
    <w:semiHidden/>
    <w:qFormat/>
    <w:locked/>
    <w:rsid w:val="00e750f8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link w:val="Nagwek8"/>
    <w:uiPriority w:val="99"/>
    <w:semiHidden/>
    <w:qFormat/>
    <w:locked/>
    <w:rsid w:val="00e750f8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styleId="Nagwek9Znak" w:customStyle="1">
    <w:name w:val="Nagłówek 9 Znak"/>
    <w:link w:val="Nagwek9"/>
    <w:uiPriority w:val="99"/>
    <w:semiHidden/>
    <w:qFormat/>
    <w:locked/>
    <w:rsid w:val="00e750f8"/>
    <w:rPr>
      <w:rFonts w:ascii="Arial" w:hAnsi="Arial" w:cs="Arial"/>
      <w:lang w:eastAsia="pl-PL"/>
    </w:rPr>
  </w:style>
  <w:style w:type="character" w:styleId="TytuZnak" w:customStyle="1">
    <w:name w:val="Tytuł Znak"/>
    <w:link w:val="Tytu"/>
    <w:uiPriority w:val="99"/>
    <w:qFormat/>
    <w:locked/>
    <w:rsid w:val="00e750f8"/>
    <w:rPr>
      <w:rFonts w:ascii="Calibri" w:hAnsi="Calibri" w:cs="Times New Roman"/>
      <w:caps/>
      <w:sz w:val="24"/>
      <w:szCs w:val="24"/>
      <w:lang w:eastAsia="pl-PL"/>
    </w:rPr>
  </w:style>
  <w:style w:type="character" w:styleId="TekstpodstawowywcityZnak" w:customStyle="1">
    <w:name w:val="Tekst podstawowy wcięty Znak"/>
    <w:link w:val="Tekstpodstawowywcity"/>
    <w:uiPriority w:val="99"/>
    <w:qFormat/>
    <w:locked/>
    <w:rsid w:val="00e750f8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link w:val="Tekstpodstawowywcity2"/>
    <w:uiPriority w:val="99"/>
    <w:semiHidden/>
    <w:qFormat/>
    <w:locked/>
    <w:rsid w:val="00e750f8"/>
    <w:rPr>
      <w:rFonts w:ascii="Times New Roman" w:hAnsi="Times New Roman" w:cs="Times New Roman"/>
      <w:sz w:val="24"/>
      <w:szCs w:val="24"/>
      <w:lang w:eastAsia="pl-PL"/>
    </w:rPr>
  </w:style>
  <w:style w:type="character" w:styleId="NagwekZnak" w:customStyle="1">
    <w:name w:val="Nagłówek Znak"/>
    <w:link w:val="Nagwek"/>
    <w:uiPriority w:val="99"/>
    <w:qFormat/>
    <w:locked/>
    <w:rsid w:val="00683a84"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link w:val="Stopka"/>
    <w:uiPriority w:val="99"/>
    <w:qFormat/>
    <w:locked/>
    <w:rsid w:val="00683a84"/>
    <w:rPr>
      <w:rFonts w:ascii="Times New Roman" w:hAnsi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"/>
      <w:kern w:val="0"/>
      <w:position w:val="0"/>
      <w:sz w:val="2"/>
      <w:sz w:val="2"/>
      <w:szCs w:val="2"/>
      <w:u w:val="none"/>
      <w:effect w:val="none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"/>
      <w:kern w:val="0"/>
      <w:position w:val="0"/>
      <w:sz w:val="24"/>
      <w:sz w:val="24"/>
      <w:szCs w:val="2"/>
      <w:u w:val="none"/>
      <w:effect w:val="none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auto"/>
      <w:sz w:val="28"/>
      <w:szCs w:val="22"/>
      <w:u w:val="none"/>
      <w:effect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"/>
      <w:kern w:val="0"/>
      <w:position w:val="0"/>
      <w:sz w:val="2"/>
      <w:sz w:val="2"/>
      <w:szCs w:val="2"/>
      <w:u w:val="none"/>
      <w:effect w:val="none"/>
      <w:vertAlign w:val="baselin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  <w:b/>
    </w:rPr>
  </w:style>
  <w:style w:type="character" w:styleId="ListLabel11">
    <w:name w:val="ListLabel 11"/>
    <w:qFormat/>
    <w:rPr>
      <w:rFonts w:ascii="Calibri" w:hAnsi="Calibri"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Calibri" w:hAnsi="Calibri"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libri" w:hAnsi="Calibri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Calibri" w:hAnsi="Calibri"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Calibri" w:hAnsi="Calibri" w:cs="Times New Roman"/>
      <w:b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Calibri" w:hAnsi="Calibri" w:cs="Times New Roman"/>
      <w:b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ascii="Calibri" w:hAnsi="Calibri" w:cs="Times New Roman"/>
      <w:b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Calibri" w:hAnsi="Calibri" w:cs="Times New Roman"/>
      <w:b/>
    </w:rPr>
  </w:style>
  <w:style w:type="character" w:styleId="ListLabel75">
    <w:name w:val="ListLabel 75"/>
    <w:qFormat/>
    <w:rPr>
      <w:rFonts w:ascii="Calibri" w:hAnsi="Calibri" w:cs="Times New Roman"/>
    </w:rPr>
  </w:style>
  <w:style w:type="character" w:styleId="ListLabel76">
    <w:name w:val="ListLabel 76"/>
    <w:qFormat/>
    <w:rPr>
      <w:rFonts w:ascii="Calibri" w:hAnsi="Calibri"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Calibri" w:hAnsi="Calibri" w:cs="Times New Roman"/>
      <w:b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Calibri" w:hAnsi="Calibri"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99"/>
    <w:qFormat/>
    <w:rsid w:val="00e750f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alibri" w:hAnsi="Calibri"/>
      <w:caps/>
      <w:sz w:val="28"/>
    </w:rPr>
  </w:style>
  <w:style w:type="paragraph" w:styleId="Wcicietrecitekstu">
    <w:name w:val="Body Text Indent"/>
    <w:basedOn w:val="Normal"/>
    <w:link w:val="TekstpodstawowywcityZnak"/>
    <w:uiPriority w:val="99"/>
    <w:rsid w:val="00e750f8"/>
    <w:pPr>
      <w:spacing w:lineRule="auto" w:line="360"/>
      <w:ind w:firstLine="708"/>
      <w:jc w:val="both"/>
    </w:pPr>
    <w:rPr/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e750f8"/>
    <w:pPr>
      <w:ind w:left="426" w:hanging="426"/>
      <w:jc w:val="both"/>
    </w:pPr>
    <w:rPr/>
  </w:style>
  <w:style w:type="paragraph" w:styleId="ListParagraph">
    <w:name w:val="List Paragraph"/>
    <w:basedOn w:val="Normal"/>
    <w:uiPriority w:val="99"/>
    <w:qFormat/>
    <w:rsid w:val="00a52591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rsid w:val="00683a8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83a84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LibreOffice/6.2.2.2$Windows_x86 LibreOffice_project/2b840030fec2aae0fd2658d8d4f9548af4e3518d</Application>
  <Pages>6</Pages>
  <Words>2028</Words>
  <Characters>14014</Characters>
  <CharactersWithSpaces>15980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2021-03-18T09:13:00Z</dcterms:created>
  <dc:creator>Admin</dc:creator>
  <dc:description/>
  <dc:language>pl-PL</dc:language>
  <cp:lastModifiedBy>Admin</cp:lastModifiedBy>
  <dcterms:modified xsi:type="dcterms:W3CDTF">2021-07-06T08:48:00Z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