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>UCHWAŁA NR                    /21</w:t>
      </w:r>
    </w:p>
    <w:p>
      <w:pPr>
        <w:pStyle w:val="Default"/>
        <w:jc w:val="center"/>
        <w:rPr/>
      </w:pPr>
      <w:r>
        <w:rPr>
          <w:b/>
          <w:bCs/>
        </w:rPr>
        <w:t>RADY MIEJSKIEJ W NIEMCZY</w:t>
      </w:r>
    </w:p>
    <w:p>
      <w:pPr>
        <w:pStyle w:val="Default"/>
        <w:jc w:val="center"/>
        <w:rPr/>
      </w:pPr>
      <w:r>
        <w:rPr/>
        <w:t>z dnia                                 2021 r.</w:t>
      </w:r>
    </w:p>
    <w:p>
      <w:pPr>
        <w:pStyle w:val="Default"/>
        <w:jc w:val="center"/>
        <w:rPr>
          <w:b/>
          <w:b/>
          <w:bCs/>
          <w:sz w:val="22"/>
        </w:rPr>
      </w:pPr>
      <w:r>
        <w:rPr>
          <w:b/>
          <w:bCs/>
          <w:sz w:val="22"/>
        </w:rPr>
        <w:t xml:space="preserve">w sprawie zmiany miejscowego planu zagospodarowania przestrzennego w obrębie </w:t>
      </w:r>
    </w:p>
    <w:p>
      <w:pPr>
        <w:pStyle w:val="Default"/>
        <w:jc w:val="center"/>
        <w:rPr>
          <w:sz w:val="22"/>
        </w:rPr>
      </w:pPr>
      <w:r>
        <w:rPr>
          <w:b/>
          <w:bCs/>
          <w:sz w:val="22"/>
        </w:rPr>
        <w:t>miejscowości Przerzeczyn - Zdrój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Na podstawie art. 18 ust. 2 pkt 5 ustawy z dnia 8 marca 1990 roku o samorządzie gminnym (t.j.Dz.U. z 2020 r., poz.713 ze zm) oraz art. 20 pkt 1 ustawy z dnia 27 marca 2003 roku o planowaniu i zagospodarowaniu przestrzennym (j.t.Dz.U. z 2021 r., poz. 741</w:t>
      </w:r>
      <w:bookmarkStart w:id="0" w:name="_GoBack"/>
      <w:bookmarkEnd w:id="0"/>
      <w:r>
        <w:rPr/>
        <w:t xml:space="preserve"> ze zm.) oraz w związku z uchwałą Nr XXIV/151/20 Rady Miejskiej w Niemczy z dnia 25 września 2020 r. w sprawie przystąpienia do sporządzenia zmiany miejscowego planu zagospodarowania przestrzennego w obrębie miejscowości Przerzeczyn – Zdrój przyjętego uchwałą Nr XXIII/123/12 Rady Miejskiej w Niemczy z dnia 26 października 2012 r. w sprawie uchwalenia miejscowego planu zagospodarowania przestrzennego wsi Przerzeczyn Zdrój, po stwierdzeniu, że nie narusza on ustaleń "Studium uwarunkowań i kierunków zagospodarowania przestrzennego miasta i gminy Niemcza", przyjętego uchwałą Rady Miejskiej w Niemczy nr XVI/83/12 z dnia 30.01.2012 r., </w:t>
      </w:r>
    </w:p>
    <w:p>
      <w:pPr>
        <w:pStyle w:val="Normal"/>
        <w:jc w:val="center"/>
        <w:rPr>
          <w:b/>
          <w:b/>
        </w:rPr>
      </w:pPr>
      <w:r>
        <w:rPr>
          <w:b/>
        </w:rPr>
        <w:t>uchwala się, co następuje:</w:t>
      </w:r>
    </w:p>
    <w:p>
      <w:pPr>
        <w:pStyle w:val="Normal"/>
        <w:jc w:val="both"/>
        <w:rPr/>
      </w:pPr>
      <w:r>
        <w:rPr/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>Rozdział I.  - Ustalenia ogólne</w:t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284" w:hanging="284"/>
        <w:jc w:val="both"/>
        <w:rPr/>
      </w:pPr>
      <w:r>
        <w:rPr>
          <w:b/>
          <w:bCs/>
        </w:rPr>
        <w:t>§ 1.</w:t>
      </w:r>
      <w:r>
        <w:rPr/>
        <w:t xml:space="preserve"> 1. Uchwala się miejscowy plan zagospodarowania przestrzennego w obrębie miejscowości Przerzeczyn - Zdrój, zwany dalej planem miejscowym, wyznaczony granicami na rysunku planu miejscowego.</w:t>
      </w:r>
    </w:p>
    <w:p>
      <w:pPr>
        <w:pStyle w:val="Tretekstu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2. Ustalenia zawarte są w tekście niniejszej uchwały oraz na rysunku planu miejscowego w skali                                      1 : 1000, stanowiącym załącznik nr 1. Rysunek planu miejscowego obowiązuje w zakresie ustalonym legendą.</w:t>
      </w:r>
    </w:p>
    <w:p>
      <w:pPr>
        <w:pStyle w:val="Tretekstu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  <w:tab/>
        <w:t>Załącznikami do uchwały są ponadto:</w:t>
      </w:r>
    </w:p>
    <w:p>
      <w:pPr>
        <w:pStyle w:val="Normal"/>
        <w:ind w:left="567" w:hanging="283"/>
        <w:jc w:val="both"/>
        <w:rPr/>
      </w:pPr>
      <w:r>
        <w:rPr/>
        <w:t xml:space="preserve">1) </w:t>
        <w:tab/>
        <w:t>rozstrzygnięcie o sposobie rozpatrzenia uwag do projektu planu miejscowego – załącznik nr 2;</w:t>
      </w:r>
    </w:p>
    <w:p>
      <w:pPr>
        <w:pStyle w:val="Normal"/>
        <w:ind w:left="567" w:hanging="283"/>
        <w:jc w:val="both"/>
        <w:rPr/>
      </w:pPr>
      <w:r>
        <w:rPr/>
        <w:t>2) rozstrzygnięcie o sposobie realizacji, zapisanych w planie inwestycji z zakresu infrastruktury technicznej, które należą do zadań własnych gminy oraz zasadach ich finansowania, zgodnie z przepisami o finansach publicznych – załącznik nr 3;</w:t>
      </w:r>
    </w:p>
    <w:p>
      <w:pPr>
        <w:pStyle w:val="Normal"/>
        <w:ind w:left="567" w:hanging="283"/>
        <w:jc w:val="both"/>
        <w:rPr/>
      </w:pPr>
      <w:r>
        <w:rPr/>
        <w:t xml:space="preserve">3) </w:t>
        <w:tab/>
        <w:t xml:space="preserve">dane przestrzenne, o których mowa w art. 67a ust. 2 ustawy z dnia 27 marca 2003 roku o planowaniu i zagospodarowaniu przestrzennym – załącznik nr 4. </w:t>
      </w:r>
    </w:p>
    <w:p>
      <w:pPr>
        <w:pStyle w:val="Tretekstu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  <w:tab/>
        <w:t>Załączniki nr 2, 3 i 4 nie stanowią ustaleń planu miejscowego.</w:t>
      </w:r>
    </w:p>
    <w:p>
      <w:pPr>
        <w:pStyle w:val="Tretekstu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  <w:tab/>
        <w:t>Z uwagi na brak przedmiotu ustaleń w planie miejscowym nie określa się:</w:t>
        <w:tab/>
        <w:t xml:space="preserve"> 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sz w:val="24"/>
          <w:szCs w:val="24"/>
        </w:rPr>
        <w:t>zasad ochrony dóbr kultury współczesnej;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granic i sposobów zagospodarowania terenów górniczych, obszarów osuwania się mas ziemnych, a także krajobrazów priorytetowych określonych w audycie krajobrazowym oraz w planach zagospodarowania przestrzennego województwa;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szczególnych warunków zagospodarowania terenów oraz ograniczeń w ich użytkowaniu;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granic i sposobów zagospodarowania terenów lub obiektów podlegających ochronie na podstawie odrębnych przepisów;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szczególnych zasad i warunków scalania i podziału nieruchomości;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sposobu i terminu tymczasowego zagospodarowania, urządzania i użytkowania terenów;</w:t>
      </w:r>
    </w:p>
    <w:p>
      <w:pPr>
        <w:pStyle w:val="ListParagraph"/>
        <w:numPr>
          <w:ilvl w:val="0"/>
          <w:numId w:val="1"/>
        </w:numPr>
        <w:spacing w:before="0" w:after="0"/>
        <w:ind w:left="567" w:hanging="283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zasad kształtowania przestrzeni publicznych.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§ 2</w:t>
      </w:r>
      <w:r>
        <w:rPr/>
        <w:t>. Następujące określenia w planie miejscowym oznaczają:</w:t>
      </w:r>
    </w:p>
    <w:p>
      <w:pPr>
        <w:pStyle w:val="Tretekstu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przepisy szczególne i odrębne – obowiązujące przepisy ustaw wraz z aktami wykonawczymi, przepisy prawa miejscowego oraz ograniczenia w zagospodarowaniu terenów wynikające z prawomocnych decyzji;</w:t>
      </w:r>
    </w:p>
    <w:p>
      <w:pPr>
        <w:pStyle w:val="Tretekstu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powierzchnia zabudowy – zajęta powierzchnia terenu wyznaczona w rzutowaniu pionowym przez zewnętrzne krawędzie zewnętrznych ścian budynków w stanie wykończonym, do powierzchni tej nie wlicza się części obiektów budowlanych niewystających ponad powierzchnię terenu a także ramp i schodów zewnętrznych oraz występów dachowych;</w:t>
      </w:r>
    </w:p>
    <w:p>
      <w:pPr>
        <w:pStyle w:val="Tretekstu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przeznaczenie podstawowe terenu – należy przez to rozumieć rodzaje obiektów, które jako jedyne są dopuszczone na danym terenie, jeżeli nie dopuszcza się przeznaczenia uzupełniającego terenu;</w:t>
      </w:r>
    </w:p>
    <w:p>
      <w:pPr>
        <w:pStyle w:val="Tretekstu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przeznaczenie uzupełniające i towarzyszące terenu - należy przez to rozumieć część przeznaczenia terenu, które uzupełnia lub wzbogaca przeznaczenie podstawowe w sposób określony w ustaleniach planu; </w:t>
      </w:r>
    </w:p>
    <w:p>
      <w:pPr>
        <w:pStyle w:val="Tretekstu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zabudowa usługowa – obiekty budowlane mieszczące usługi o charakterze niesprzecznym z zabudową mieszkaniową, z zakresu obsługi turystyki, handlu, gastronomii i administracji.</w:t>
      </w:r>
    </w:p>
    <w:p>
      <w:pPr>
        <w:pStyle w:val="Default"/>
        <w:jc w:val="both"/>
        <w:rPr/>
      </w:pPr>
      <w:r>
        <w:rPr/>
      </w:r>
    </w:p>
    <w:p>
      <w:pPr>
        <w:pStyle w:val="Wcicietrecitekstu"/>
        <w:ind w:left="0" w:hanging="0"/>
        <w:jc w:val="both"/>
        <w:rPr/>
      </w:pPr>
      <w:r>
        <w:rPr>
          <w:b/>
          <w:bCs/>
        </w:rPr>
        <w:t xml:space="preserve">§ 3.  </w:t>
      </w:r>
      <w:r>
        <w:rPr/>
        <w:t xml:space="preserve">Ustala się </w:t>
      </w:r>
      <w:r>
        <w:rPr>
          <w:b/>
          <w:bCs/>
        </w:rPr>
        <w:t>przeznaczenie terenów</w:t>
      </w:r>
      <w:r>
        <w:rPr/>
        <w:t>, wydzielonych liniami rozgraniczającymi i oznaczonych na rysunku planu miejscowego symbolami:</w:t>
      </w:r>
    </w:p>
    <w:p>
      <w:pPr>
        <w:pStyle w:val="Wcicietrecitekstu"/>
        <w:numPr>
          <w:ilvl w:val="0"/>
          <w:numId w:val="2"/>
        </w:numPr>
        <w:spacing w:before="0" w:after="0"/>
        <w:jc w:val="both"/>
        <w:rPr/>
      </w:pPr>
      <w:r>
        <w:rPr/>
        <w:t>jako podstawowe przeznaczenie odpowiednio:</w:t>
      </w:r>
    </w:p>
    <w:p>
      <w:pPr>
        <w:pStyle w:val="BodyTextIndent3"/>
        <w:numPr>
          <w:ilvl w:val="0"/>
          <w:numId w:val="3"/>
        </w:numPr>
        <w:spacing w:before="0" w:after="0"/>
        <w:ind w:left="1134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ITw </w:t>
      </w:r>
      <w:r>
        <w:rPr>
          <w:sz w:val="24"/>
          <w:szCs w:val="24"/>
        </w:rPr>
        <w:t>– teren infrastruktury technicznej z zakresu zaopatrzenia w wodę,</w:t>
      </w:r>
    </w:p>
    <w:p>
      <w:pPr>
        <w:pStyle w:val="BodyTextIndent3"/>
        <w:numPr>
          <w:ilvl w:val="0"/>
          <w:numId w:val="3"/>
        </w:numPr>
        <w:spacing w:before="0" w:after="0"/>
        <w:ind w:left="1134" w:hanging="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ZN </w:t>
      </w:r>
      <w:r>
        <w:rPr>
          <w:sz w:val="24"/>
          <w:szCs w:val="24"/>
        </w:rPr>
        <w:t>– teren zieleni nieurządznej,</w:t>
      </w:r>
    </w:p>
    <w:p>
      <w:pPr>
        <w:pStyle w:val="BodyTextIndent3"/>
        <w:numPr>
          <w:ilvl w:val="0"/>
          <w:numId w:val="3"/>
        </w:numPr>
        <w:spacing w:before="0" w:after="0"/>
        <w:ind w:left="1134" w:hanging="4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KDW</w:t>
      </w:r>
      <w:r>
        <w:rPr>
          <w:sz w:val="24"/>
          <w:szCs w:val="24"/>
        </w:rPr>
        <w:t xml:space="preserve"> – teren drogi wewnętrznej;</w:t>
      </w:r>
    </w:p>
    <w:p>
      <w:pPr>
        <w:pStyle w:val="BodyTextIndent3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 przeznaczenie uzupełniające dopuszcza się odpowiednio: </w:t>
      </w:r>
    </w:p>
    <w:p>
      <w:pPr>
        <w:pStyle w:val="BodyTextIndent3"/>
        <w:numPr>
          <w:ilvl w:val="0"/>
          <w:numId w:val="10"/>
        </w:numPr>
        <w:spacing w:before="0" w:after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ITw</w:t>
      </w:r>
      <w:r>
        <w:rPr>
          <w:sz w:val="24"/>
          <w:szCs w:val="24"/>
        </w:rPr>
        <w:t xml:space="preserve"> – budynki i budowle związane bezpośrednio z przeznaczeniem podstawowym;</w:t>
      </w:r>
    </w:p>
    <w:p>
      <w:pPr>
        <w:pStyle w:val="BodyTextIndent3"/>
        <w:numPr>
          <w:ilvl w:val="0"/>
          <w:numId w:val="2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każdym z terenów zakazuje się przeznaczeń innych niż te, które są dla niego ustalone w planie miejscowym. </w:t>
      </w:r>
    </w:p>
    <w:p>
      <w:pPr>
        <w:pStyle w:val="Normal"/>
        <w:ind w:left="567" w:hanging="283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  <w:bCs/>
        </w:rPr>
        <w:t>§ 4.</w:t>
      </w:r>
      <w:r>
        <w:rPr/>
        <w:t xml:space="preserve">  W zakresie </w:t>
      </w:r>
      <w:r>
        <w:rPr>
          <w:b/>
          <w:bCs/>
        </w:rPr>
        <w:t>zasad ochrony i kształtowania ładu przestrzennego</w:t>
      </w:r>
      <w:r>
        <w:rPr/>
        <w:t xml:space="preserve"> ustala się:</w:t>
      </w:r>
    </w:p>
    <w:p>
      <w:pPr>
        <w:pStyle w:val="Normal"/>
        <w:ind w:left="851" w:hanging="425"/>
        <w:jc w:val="both"/>
        <w:rPr/>
      </w:pPr>
      <w:r>
        <w:rPr/>
        <w:t xml:space="preserve">1) </w:t>
        <w:tab/>
        <w:t>dla terenu ITw nie ustala się linii zabudowy, dopuszcza się sytuowanie obiektów bezpośrednio przy granicy działki;</w:t>
      </w:r>
    </w:p>
    <w:p>
      <w:pPr>
        <w:pStyle w:val="Normal"/>
        <w:ind w:left="851" w:hanging="425"/>
        <w:jc w:val="both"/>
        <w:rPr/>
      </w:pPr>
      <w:r>
        <w:rPr/>
        <w:t xml:space="preserve">2) </w:t>
        <w:tab/>
        <w:t>maksymalną wysokość dla budowli - 15 m z wyłączeniem budowli służących łączności publicznej;</w:t>
      </w:r>
    </w:p>
    <w:p>
      <w:pPr>
        <w:pStyle w:val="Normal"/>
        <w:shd w:val="clear" w:color="auto" w:fill="FFF2CC" w:themeFill="accent4" w:themeFillTint="33"/>
        <w:ind w:left="851" w:hanging="425"/>
        <w:jc w:val="both"/>
        <w:rPr/>
      </w:pPr>
      <w:r>
        <w:rPr/>
        <w:t xml:space="preserve">3) </w:t>
        <w:tab/>
        <w:t xml:space="preserve">na terenie ITw, dopuszcza się zabudowę wyłącznie służącą określonej funkcji, obowiązuje zakaz: </w:t>
      </w:r>
    </w:p>
    <w:p>
      <w:pPr>
        <w:pStyle w:val="Default"/>
        <w:shd w:val="clear" w:color="auto" w:fill="FFF2CC" w:themeFill="accent4" w:themeFillTint="33"/>
        <w:ind w:left="993" w:hanging="284"/>
        <w:jc w:val="both"/>
        <w:rPr/>
      </w:pPr>
      <w:r>
        <w:rPr/>
        <w:t xml:space="preserve">a) </w:t>
        <w:tab/>
        <w:t xml:space="preserve">stosowania materiałów wykończeniowych typu siding, </w:t>
      </w:r>
    </w:p>
    <w:p>
      <w:pPr>
        <w:pStyle w:val="Default"/>
        <w:shd w:val="clear" w:color="auto" w:fill="FFF2CC" w:themeFill="accent4" w:themeFillTint="33"/>
        <w:ind w:left="993" w:hanging="284"/>
        <w:jc w:val="both"/>
        <w:rPr/>
      </w:pPr>
      <w:r>
        <w:rPr/>
        <w:t xml:space="preserve">b) </w:t>
        <w:tab/>
        <w:t xml:space="preserve">stosowania papy jako materiału pokrycia dachu. </w:t>
      </w:r>
    </w:p>
    <w:p>
      <w:pPr>
        <w:pStyle w:val="Normal"/>
        <w:ind w:left="993" w:hanging="426"/>
        <w:jc w:val="both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Tretekstu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§ 5.</w:t>
      </w:r>
      <w:r>
        <w:rPr>
          <w:rFonts w:ascii="Times New Roman" w:hAnsi="Times New Roman"/>
        </w:rPr>
        <w:t xml:space="preserve"> W zakresie </w:t>
      </w:r>
      <w:r>
        <w:rPr>
          <w:rFonts w:ascii="Times New Roman" w:hAnsi="Times New Roman"/>
          <w:b/>
          <w:bCs/>
        </w:rPr>
        <w:t>zasad ochrony środowiska, przyrody i krajobrazu</w:t>
      </w:r>
      <w:r>
        <w:rPr>
          <w:rFonts w:ascii="Times New Roman" w:hAnsi="Times New Roman"/>
        </w:rPr>
        <w:t>:</w:t>
      </w:r>
    </w:p>
    <w:p>
      <w:pPr>
        <w:pStyle w:val="BodyTextIndent2"/>
        <w:numPr>
          <w:ilvl w:val="0"/>
          <w:numId w:val="4"/>
        </w:numPr>
        <w:spacing w:lineRule="auto" w:line="240" w:before="0" w:after="0"/>
        <w:jc w:val="both"/>
        <w:rPr/>
      </w:pPr>
      <w:r>
        <w:rPr/>
        <w:t>ze względu na położenie obszaru w strefie „C” ochrony uzdrowiskowej wszelkie inwestycje muszą uwzględniać obowiązujące przepisy szczególne;</w:t>
      </w:r>
    </w:p>
    <w:p>
      <w:pPr>
        <w:pStyle w:val="BodyTextIndent2"/>
        <w:numPr>
          <w:ilvl w:val="0"/>
          <w:numId w:val="4"/>
        </w:numPr>
        <w:shd w:val="clear" w:color="auto" w:fill="FFFFFF" w:themeFill="background1"/>
        <w:spacing w:lineRule="auto" w:line="240" w:before="0" w:after="0"/>
        <w:jc w:val="both"/>
        <w:rPr/>
      </w:pPr>
      <w:r>
        <w:rPr/>
        <w:t>na całym obszarze objętym miejscowym planem ustala się zakaz lokalizacji przedsięwzięć mogących znacząco oddziaływać na środowisko, z wyłączeniem liniowej infrastruktury technicznej dystrybucyjnej,</w:t>
      </w:r>
    </w:p>
    <w:p>
      <w:pPr>
        <w:pStyle w:val="BodyTextIndent2"/>
        <w:numPr>
          <w:ilvl w:val="0"/>
          <w:numId w:val="4"/>
        </w:numPr>
        <w:spacing w:lineRule="auto" w:line="240" w:before="0" w:after="0"/>
        <w:jc w:val="both"/>
        <w:rPr/>
      </w:pPr>
      <w:r>
        <w:rPr/>
        <w:t>gospodarowanie odpadami komunalnymi w oparciu o przepisy prawa miejscowego oraz przepisy odrębne,</w:t>
      </w:r>
    </w:p>
    <w:p>
      <w:pPr>
        <w:pStyle w:val="BodyTextIndent2"/>
        <w:numPr>
          <w:ilvl w:val="0"/>
          <w:numId w:val="4"/>
        </w:numPr>
        <w:spacing w:lineRule="auto" w:line="240" w:before="0" w:after="0"/>
        <w:jc w:val="both"/>
        <w:rPr/>
      </w:pPr>
      <w:r>
        <w:rPr/>
        <w:t>dla obszaru objętego planem miejscowym obowiązują przepisy szczególne w zakresie gospodarowania wodami na obszarze dorzecza Odry – JCWP – Ślęza od źródła do Księginki o kodzie PLRW600061336192 oraz JCPWd o kodzie PLGW6000108.</w:t>
      </w:r>
    </w:p>
    <w:p>
      <w:pPr>
        <w:pStyle w:val="Normal"/>
        <w:ind w:left="567" w:hanging="283"/>
        <w:jc w:val="both"/>
        <w:rPr/>
      </w:pPr>
      <w:r>
        <w:rPr/>
      </w:r>
    </w:p>
    <w:p>
      <w:pPr>
        <w:pStyle w:val="Wcicietrecitekstu"/>
        <w:ind w:left="0" w:hanging="0"/>
        <w:jc w:val="both"/>
        <w:rPr/>
      </w:pPr>
      <w:r>
        <w:rPr>
          <w:b/>
          <w:bCs/>
        </w:rPr>
        <w:t>§ 6.</w:t>
      </w:r>
      <w:r>
        <w:rPr/>
        <w:t xml:space="preserve"> Na całym obszarze objętym planem miejscowy, w zakresie </w:t>
      </w:r>
      <w:r>
        <w:rPr>
          <w:b/>
          <w:bCs/>
        </w:rPr>
        <w:t>zasad ochrony dziedzictwa kulturowego i zabytków</w:t>
      </w:r>
      <w:r>
        <w:rPr/>
        <w:t xml:space="preserve"> ustala się: wszelkie przedmioty, co do których istnieje przypuszczenie, iż są zabytkiem pozyskanym w trakcie prowadzenia prac ziemnych lub odkrytym przypadkowo podlegają ochronie prawnej, postępowanie należy prowadzić  zgodnie z obowiązującymi przepisami odrębnymi.</w:t>
      </w:r>
    </w:p>
    <w:p>
      <w:pPr>
        <w:pStyle w:val="Normal"/>
        <w:jc w:val="both"/>
        <w:rPr/>
      </w:pPr>
      <w:r>
        <w:rPr/>
      </w:r>
    </w:p>
    <w:p>
      <w:pPr>
        <w:pStyle w:val="Default"/>
        <w:rPr/>
      </w:pPr>
      <w:r>
        <w:rPr>
          <w:b/>
          <w:bCs/>
        </w:rPr>
        <w:t xml:space="preserve">§ 7. W zakresie zasad modernizacji, rozbudowy i budowy systemów komunikacji </w:t>
      </w:r>
      <w:r>
        <w:rPr/>
        <w:t>ustala się:</w:t>
      </w:r>
    </w:p>
    <w:p>
      <w:pPr>
        <w:pStyle w:val="Default"/>
        <w:ind w:left="360" w:hanging="360"/>
        <w:jc w:val="both"/>
        <w:rPr/>
      </w:pPr>
      <w:r>
        <w:rPr/>
        <w:t>1.</w:t>
        <w:tab/>
        <w:t xml:space="preserve">Obsługa obszaru objętego planem miejscowym odbywać się będzie w oparciu o wyznaczoną drogę wewnętrzną </w:t>
      </w:r>
      <w:r>
        <w:rPr>
          <w:b/>
          <w:bCs/>
        </w:rPr>
        <w:t>KDW</w:t>
      </w:r>
      <w:r>
        <w:rPr/>
        <w:t xml:space="preserve"> o szerokości 6,0 m w liniach rozgraniczających, zakończoną placem manewrowym, mającą dostęp do drogi publicznej, przyległej do granicy zachodniej działki. </w:t>
      </w:r>
    </w:p>
    <w:p>
      <w:pPr>
        <w:pStyle w:val="Normal"/>
        <w:ind w:left="360" w:hanging="360"/>
        <w:jc w:val="both"/>
        <w:rPr/>
      </w:pPr>
      <w:r>
        <w:rPr/>
        <w:t xml:space="preserve">2. </w:t>
        <w:tab/>
        <w:t>Nie dopuszcza się w obszarze zainwestowania wydzielania dodatkowych dróg wewnętrznych, nie wyznaczonych na rysunku planu miejscowego.</w:t>
      </w:r>
    </w:p>
    <w:p>
      <w:pPr>
        <w:pStyle w:val="Normal"/>
        <w:ind w:left="360" w:hanging="0"/>
        <w:jc w:val="both"/>
        <w:rPr/>
      </w:pPr>
      <w:r>
        <w:rPr/>
      </w:r>
    </w:p>
    <w:p>
      <w:pPr>
        <w:pStyle w:val="Default"/>
        <w:jc w:val="both"/>
        <w:rPr/>
      </w:pPr>
      <w:r>
        <w:rPr>
          <w:b/>
          <w:bCs/>
        </w:rPr>
        <w:t>§ 8.</w:t>
      </w:r>
      <w:r>
        <w:rPr/>
        <w:t xml:space="preserve"> 1. </w:t>
      </w:r>
      <w:r>
        <w:rPr>
          <w:b/>
          <w:bCs/>
        </w:rPr>
        <w:t xml:space="preserve">W zakresie zasad modernizacji, rozbudowy i budowy systemów infrastruktury technicznej </w:t>
      </w:r>
      <w:r>
        <w:rPr/>
        <w:t>ustala się:</w:t>
      </w:r>
    </w:p>
    <w:p>
      <w:pPr>
        <w:pStyle w:val="Default"/>
        <w:numPr>
          <w:ilvl w:val="0"/>
          <w:numId w:val="5"/>
        </w:numPr>
        <w:jc w:val="both"/>
        <w:rPr/>
      </w:pPr>
      <w:r>
        <w:rPr/>
        <w:t xml:space="preserve">sieci uzbrojenia technicznego terenu przeznaczonego pod zainwestowanie należy prowadzić w pasach linii rozgraniczających dróg wewnętrznych, </w:t>
      </w:r>
    </w:p>
    <w:p>
      <w:pPr>
        <w:pStyle w:val="Default"/>
        <w:numPr>
          <w:ilvl w:val="0"/>
          <w:numId w:val="5"/>
        </w:numPr>
        <w:jc w:val="both"/>
        <w:rPr/>
      </w:pPr>
      <w:r>
        <w:rPr/>
        <w:t>dopuszcza się inne niż określone w ust. 1 poprowadzenie, także poprzez tereny funkcjonalne za zgodą i na warunkach określonych przez użytkowników poszczególnych nieruchomości,</w:t>
      </w:r>
    </w:p>
    <w:p>
      <w:pPr>
        <w:pStyle w:val="Default"/>
        <w:numPr>
          <w:ilvl w:val="0"/>
          <w:numId w:val="5"/>
        </w:numPr>
        <w:jc w:val="both"/>
        <w:rPr/>
      </w:pPr>
      <w:r>
        <w:rPr/>
        <w:t xml:space="preserve">przebieg poszczególnych sieci należy projektować z poszanowaniem przestrzeni przeznaczonych do zainwestowania, w odległościach minimalnych dopuszczonych przepisami odrębnymi od innych sieci oraz z uwzględnieniem podziałów terenu naturalnych i prawnych. </w:t>
      </w:r>
    </w:p>
    <w:p>
      <w:pPr>
        <w:pStyle w:val="Normal"/>
        <w:ind w:left="426" w:hanging="426"/>
        <w:rPr/>
      </w:pPr>
      <w:r>
        <w:rPr/>
        <w:t>2.</w:t>
        <w:tab/>
        <w:t>Zaopatrzenie w wodę z sieci wodociągowej lub z ujęć indywidualnych;</w:t>
      </w:r>
    </w:p>
    <w:p>
      <w:pPr>
        <w:pStyle w:val="Normal"/>
        <w:ind w:left="426" w:hanging="426"/>
        <w:rPr/>
      </w:pPr>
      <w:r>
        <w:rPr/>
        <w:t>3.</w:t>
        <w:tab/>
      </w:r>
      <w:r>
        <w:rPr>
          <w:bCs/>
        </w:rPr>
        <w:t>Odprowadzenie ścieków:</w:t>
      </w:r>
    </w:p>
    <w:p>
      <w:pPr>
        <w:pStyle w:val="Normal"/>
        <w:ind w:left="709" w:hanging="425"/>
        <w:rPr/>
      </w:pPr>
      <w:r>
        <w:rPr/>
        <w:t xml:space="preserve">1) </w:t>
        <w:tab/>
        <w:t>bytowo-komunalnych ze wszystkich obiektów budowlanych do sieci kanalizacyjnej,</w:t>
      </w:r>
    </w:p>
    <w:p>
      <w:pPr>
        <w:pStyle w:val="Normal"/>
        <w:ind w:left="709" w:hanging="425"/>
        <w:jc w:val="both"/>
        <w:rPr/>
      </w:pPr>
      <w:r>
        <w:rPr/>
        <w:t xml:space="preserve">2) </w:t>
        <w:tab/>
        <w:t>w przypadku braku warunków przyłączenia do sieci dopuszcza się rozwiązania indywidulane, zgodne z wymogami przepisów odrębnych dotyczących gospodarki wodami;</w:t>
      </w:r>
    </w:p>
    <w:p>
      <w:pPr>
        <w:pStyle w:val="ListParagraph"/>
        <w:numPr>
          <w:ilvl w:val="0"/>
          <w:numId w:val="6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Odprowadzenie wód opadowych i roztopowych:</w:t>
      </w:r>
    </w:p>
    <w:p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sz w:val="24"/>
          <w:szCs w:val="24"/>
        </w:rPr>
        <w:t>do kanalizacji deszczowej, zgodnie z przepisami odrębnymi,</w:t>
      </w:r>
    </w:p>
    <w:p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sz w:val="24"/>
          <w:szCs w:val="24"/>
        </w:rPr>
        <w:t>dopuszcza się stosowanie studni chłonnych oraz odprowadzanie wód opadowych i roztopowych na nieutwardzony teren działki budowlanej,</w:t>
      </w:r>
    </w:p>
    <w:p>
      <w:pPr>
        <w:pStyle w:val="ListParagraph"/>
        <w:numPr>
          <w:ilvl w:val="0"/>
          <w:numId w:val="7"/>
        </w:numPr>
        <w:rPr>
          <w:bCs/>
          <w:sz w:val="24"/>
          <w:szCs w:val="24"/>
        </w:rPr>
      </w:pPr>
      <w:r>
        <w:rPr>
          <w:sz w:val="24"/>
          <w:szCs w:val="24"/>
        </w:rPr>
        <w:t>dopuszcza się odprowadzanie wód do cieków i zbiorników retencyjnych zgodnie z przepisami odrębnymi;</w:t>
      </w:r>
    </w:p>
    <w:p>
      <w:pPr>
        <w:pStyle w:val="ListParagraph"/>
        <w:numPr>
          <w:ilvl w:val="0"/>
          <w:numId w:val="6"/>
        </w:numPr>
        <w:ind w:left="426" w:hanging="426"/>
        <w:rPr>
          <w:sz w:val="24"/>
          <w:szCs w:val="24"/>
        </w:rPr>
      </w:pPr>
      <w:r>
        <w:rPr>
          <w:bCs/>
          <w:sz w:val="24"/>
          <w:szCs w:val="24"/>
        </w:rPr>
        <w:t>Zaopatrzenie w energię elektryczną</w:t>
      </w:r>
      <w:r>
        <w:rPr>
          <w:sz w:val="24"/>
          <w:szCs w:val="24"/>
        </w:rPr>
        <w:t xml:space="preserve"> z elektroenergetycznej sieci dystrybucyjnej na warunkach określonych w przepisach odrębnych;</w:t>
      </w:r>
    </w:p>
    <w:p>
      <w:pPr>
        <w:pStyle w:val="ListParagraph"/>
        <w:numPr>
          <w:ilvl w:val="0"/>
          <w:numId w:val="6"/>
        </w:numPr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Nie przewiduje się zaopatrzenia teernów w gaz sieciowy</w:t>
      </w:r>
      <w:r>
        <w:rPr/>
        <w:t>;</w:t>
      </w:r>
    </w:p>
    <w:p>
      <w:pPr>
        <w:pStyle w:val="ListParagraph"/>
        <w:numPr>
          <w:ilvl w:val="0"/>
          <w:numId w:val="6"/>
        </w:numPr>
        <w:spacing w:before="0" w:after="0"/>
        <w:ind w:left="426" w:hanging="426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Zaopatrzenie w ciepło:</w:t>
      </w:r>
    </w:p>
    <w:p>
      <w:pPr>
        <w:pStyle w:val="ListParagraph"/>
        <w:numPr>
          <w:ilvl w:val="0"/>
          <w:numId w:val="8"/>
        </w:numPr>
        <w:spacing w:before="0" w:after="0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z indywidualnych źródeł ciepła,</w:t>
      </w:r>
    </w:p>
    <w:p>
      <w:pPr>
        <w:pStyle w:val="ListParagraph"/>
        <w:numPr>
          <w:ilvl w:val="0"/>
          <w:numId w:val="8"/>
        </w:numPr>
        <w:spacing w:before="0" w:after="0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>zakaz realizacji napowietrznych sieci ciepłowniczych,</w:t>
      </w:r>
    </w:p>
    <w:p>
      <w:pPr>
        <w:pStyle w:val="ListParagraph"/>
        <w:numPr>
          <w:ilvl w:val="0"/>
          <w:numId w:val="8"/>
        </w:numPr>
        <w:spacing w:before="0" w:after="0"/>
        <w:ind w:left="709" w:hanging="283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dopuszcza się stosowanie paliw i instalacji, w których następuje spalanie, zgodne z ustaleniami przepisów odrębnych oraz aktów prawa miejscowego;</w:t>
      </w:r>
    </w:p>
    <w:p>
      <w:pPr>
        <w:pStyle w:val="ListParagraph"/>
        <w:numPr>
          <w:ilvl w:val="0"/>
          <w:numId w:val="6"/>
        </w:numPr>
        <w:spacing w:before="0" w:after="0"/>
        <w:ind w:left="426" w:hanging="426"/>
        <w:contextualSpacing/>
        <w:rPr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Dostęp</w:t>
      </w:r>
      <w:r>
        <w:rPr>
          <w:b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do usług</w:t>
      </w:r>
      <w:r>
        <w:rPr>
          <w:b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telekomunikacyjnych </w:t>
      </w:r>
      <w:r>
        <w:rPr>
          <w:color w:val="auto"/>
          <w:sz w:val="24"/>
          <w:szCs w:val="24"/>
        </w:rPr>
        <w:t>za pomocą kablowej lub radiowej sieci telekomunikacyjnej;</w:t>
      </w:r>
    </w:p>
    <w:p>
      <w:pPr>
        <w:pStyle w:val="ListParagraph"/>
        <w:numPr>
          <w:ilvl w:val="0"/>
          <w:numId w:val="6"/>
        </w:numPr>
        <w:spacing w:before="0" w:after="0"/>
        <w:ind w:left="426" w:hanging="426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Gospodarkę odpadami w zakresie gromadzenia i usuwania odpadów, także innych niż komunalne, należy prowadzić w oparciu o przepisy prawa miejscowego oraz przepisy odrębne;</w:t>
      </w:r>
    </w:p>
    <w:p>
      <w:pPr>
        <w:pStyle w:val="ListParagraph"/>
        <w:numPr>
          <w:ilvl w:val="0"/>
          <w:numId w:val="6"/>
        </w:numPr>
        <w:spacing w:before="0" w:after="0"/>
        <w:ind w:left="426" w:hanging="426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Na całym obszarze dopuszcza się realizację instalacji służących do produkcji energii z odnawialnych źródeł o mocy nie przekraczającej 100kW, z wyjątkiem instalacji wiatrowych oraz z wykorzystaniem biomasy. </w:t>
      </w:r>
    </w:p>
    <w:p>
      <w:pPr>
        <w:pStyle w:val="Default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>Rozdział 2. Ustalenia szczegółowe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Cs/>
        </w:rPr>
      </w:pPr>
      <w:r>
        <w:rPr>
          <w:b/>
        </w:rPr>
        <w:t xml:space="preserve">§ 9. </w:t>
      </w:r>
      <w:r>
        <w:rPr/>
        <w:t xml:space="preserve">Dla terenu oznaczonego na rysunku planu miejscowego symbolem </w:t>
      </w:r>
      <w:r>
        <w:rPr>
          <w:b/>
        </w:rPr>
        <w:t xml:space="preserve">ITw  </w:t>
      </w:r>
      <w:r>
        <w:rPr>
          <w:bCs/>
        </w:rPr>
        <w:t xml:space="preserve">ustala się: </w:t>
      </w:r>
    </w:p>
    <w:p>
      <w:pPr>
        <w:pStyle w:val="ListParagraph"/>
        <w:numPr>
          <w:ilvl w:val="0"/>
          <w:numId w:val="9"/>
        </w:numPr>
        <w:shd w:val="clear" w:color="auto" w:fill="FFFFFF"/>
        <w:ind w:left="851" w:hanging="491"/>
        <w:rPr>
          <w:bCs/>
          <w:sz w:val="24"/>
          <w:szCs w:val="24"/>
        </w:rPr>
      </w:pPr>
      <w:r>
        <w:rPr>
          <w:bCs/>
          <w:sz w:val="24"/>
          <w:szCs w:val="24"/>
        </w:rPr>
        <w:t>podstawowe przeznaczenie terenu – ujęcie wody wraz ze strefą ochrony, ustaloną decyzją właściwego organu;</w:t>
      </w:r>
    </w:p>
    <w:p>
      <w:pPr>
        <w:pStyle w:val="ListParagraph"/>
        <w:numPr>
          <w:ilvl w:val="0"/>
          <w:numId w:val="9"/>
        </w:numPr>
        <w:shd w:val="clear" w:color="auto" w:fill="FFFFFF"/>
        <w:ind w:left="851" w:hanging="491"/>
        <w:rPr>
          <w:bCs/>
          <w:sz w:val="24"/>
          <w:szCs w:val="24"/>
        </w:rPr>
      </w:pPr>
      <w:r>
        <w:rPr>
          <w:bCs/>
          <w:sz w:val="24"/>
          <w:szCs w:val="24"/>
        </w:rPr>
        <w:t>minimalna powierzchnia biologicznie czynna nie mniej niż 10% powierzchni działki budowlanej;</w:t>
      </w:r>
    </w:p>
    <w:p>
      <w:pPr>
        <w:pStyle w:val="ListParagraph"/>
        <w:numPr>
          <w:ilvl w:val="0"/>
          <w:numId w:val="9"/>
        </w:numPr>
        <w:shd w:val="clear" w:color="auto" w:fill="FFFFFF"/>
        <w:ind w:left="851" w:hanging="491"/>
        <w:rPr>
          <w:bCs/>
          <w:sz w:val="24"/>
          <w:szCs w:val="24"/>
        </w:rPr>
      </w:pPr>
      <w:r>
        <w:rPr>
          <w:bCs/>
          <w:sz w:val="24"/>
          <w:szCs w:val="24"/>
        </w:rPr>
        <w:t>nie ustala się wskaźników intensywności zabudowy;</w:t>
      </w:r>
    </w:p>
    <w:p>
      <w:pPr>
        <w:pStyle w:val="ListParagraph"/>
        <w:numPr>
          <w:ilvl w:val="0"/>
          <w:numId w:val="9"/>
        </w:numPr>
        <w:shd w:val="clear" w:color="auto" w:fill="FFFFFF"/>
        <w:ind w:left="851" w:hanging="491"/>
        <w:rPr>
          <w:bCs/>
          <w:sz w:val="24"/>
          <w:szCs w:val="24"/>
        </w:rPr>
      </w:pPr>
      <w:r>
        <w:rPr>
          <w:bCs/>
          <w:sz w:val="24"/>
          <w:szCs w:val="24"/>
        </w:rPr>
        <w:t>dopuszcza się realizację budynków pow. zabudowy do 100m</w:t>
      </w:r>
      <w:r>
        <w:rPr>
          <w:bCs/>
          <w:sz w:val="24"/>
          <w:szCs w:val="24"/>
          <w:vertAlign w:val="superscript"/>
        </w:rPr>
        <w:t>2</w:t>
      </w:r>
      <w:r>
        <w:rPr>
          <w:bCs/>
          <w:sz w:val="24"/>
          <w:szCs w:val="24"/>
        </w:rPr>
        <w:t xml:space="preserve"> i wysokości do 6,0 m oraz budowli oraz sieci i urządzeń z zakresu infrastruktury technicznej, związanych bezpośrednio z podstawowym przeznaczeniem i uwzględniających wymogi wynikające z przywołanej w pkt 1) decyzji,</w:t>
      </w:r>
    </w:p>
    <w:p>
      <w:pPr>
        <w:pStyle w:val="ListParagraph"/>
        <w:numPr>
          <w:ilvl w:val="0"/>
          <w:numId w:val="9"/>
        </w:numPr>
        <w:shd w:val="clear" w:color="auto" w:fill="FFFFFF"/>
        <w:ind w:left="851" w:hanging="491"/>
        <w:rPr>
          <w:bCs/>
          <w:sz w:val="24"/>
          <w:szCs w:val="24"/>
        </w:rPr>
      </w:pPr>
      <w:r>
        <w:rPr>
          <w:bCs/>
          <w:sz w:val="24"/>
          <w:szCs w:val="24"/>
        </w:rPr>
        <w:t>dla potrzeb funkcjonowania podmiotu ustala się potrzebę wydzielenia jednego miejsca parkingowego, zlokalizowanego w obrębie granic terenu oznaczonego symbolem KDW.</w:t>
      </w:r>
    </w:p>
    <w:p>
      <w:pPr>
        <w:pStyle w:val="Normal"/>
        <w:shd w:val="clear" w:color="auto" w:fill="FFFFFF"/>
        <w:rPr>
          <w:bCs/>
        </w:rPr>
      </w:pPr>
      <w:r>
        <w:rPr>
          <w:bCs/>
        </w:rPr>
      </w:r>
    </w:p>
    <w:p>
      <w:pPr>
        <w:pStyle w:val="Normal"/>
        <w:shd w:val="clear" w:color="auto" w:fill="FFFFFF"/>
        <w:rPr>
          <w:bCs/>
        </w:rPr>
      </w:pPr>
      <w:r>
        <w:rPr>
          <w:b/>
        </w:rPr>
        <w:t>§ 11</w:t>
      </w:r>
      <w:r>
        <w:rPr>
          <w:bCs/>
        </w:rPr>
        <w:t xml:space="preserve"> . Dla terenu zieleni nieurządzonej, oznaczonego na rysunku planu symbolem </w:t>
      </w:r>
      <w:r>
        <w:rPr>
          <w:b/>
        </w:rPr>
        <w:t>ZN</w:t>
      </w:r>
      <w:r>
        <w:rPr>
          <w:bCs/>
        </w:rPr>
        <w:t xml:space="preserve"> ustala się:</w:t>
      </w:r>
    </w:p>
    <w:p>
      <w:pPr>
        <w:pStyle w:val="ListParagraph"/>
        <w:numPr>
          <w:ilvl w:val="0"/>
          <w:numId w:val="11"/>
        </w:numPr>
        <w:shd w:val="clear" w:color="auto" w:fill="FFFFFF"/>
        <w:spacing w:before="0" w:after="0"/>
        <w:ind w:left="851" w:hanging="491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całkowity zakaz zabudowy;</w:t>
      </w:r>
    </w:p>
    <w:p>
      <w:pPr>
        <w:pStyle w:val="ListParagraph"/>
        <w:numPr>
          <w:ilvl w:val="0"/>
          <w:numId w:val="11"/>
        </w:numPr>
        <w:shd w:val="clear" w:color="auto" w:fill="FFFFFF"/>
        <w:spacing w:before="0" w:after="0"/>
        <w:ind w:left="851" w:hanging="491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zakaz wprowadzania zadrzewień w pasie 5 m wzdłuż rowu, stanowiącego północno – zachodnią granicę obszaru opracowania i </w:t>
      </w:r>
      <w:r>
        <w:rPr>
          <w:bCs/>
        </w:rPr>
        <w:t>konieczność zapewnienia dostępu do rowu, o którym mowa w pkt 1) w celach bieżącej eksploatacji i konserwacji.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>Rozdział 3. Ustalenia końcowe</w:t>
      </w:r>
    </w:p>
    <w:p>
      <w:pPr>
        <w:pStyle w:val="Default"/>
        <w:jc w:val="center"/>
        <w:rPr/>
      </w:pPr>
      <w:r>
        <w:rPr/>
      </w:r>
    </w:p>
    <w:p>
      <w:pPr>
        <w:pStyle w:val="Default"/>
        <w:ind w:left="360" w:hanging="360"/>
        <w:jc w:val="both"/>
        <w:rPr/>
      </w:pPr>
      <w:r>
        <w:rPr>
          <w:b/>
          <w:bCs/>
        </w:rPr>
        <w:t xml:space="preserve">§ 12. </w:t>
      </w:r>
      <w:r>
        <w:rPr/>
        <w:t>1. Na podstawie art. 15 ust. 2 pkt 12 ustawy z dnia 27 marca 2003 r. o planowaniu i zagospodarowaniu przestrzennym ustala się wysokość stawki procentowej dla opłaty, o której mowa w art. 36 ust. 4 tej ustawy, dla wszystkich terenów w wysokości 0%.</w:t>
      </w:r>
    </w:p>
    <w:p>
      <w:pPr>
        <w:pStyle w:val="Default"/>
        <w:ind w:left="360" w:hanging="360"/>
        <w:jc w:val="both"/>
        <w:rPr/>
      </w:pPr>
      <w:r>
        <w:rPr/>
      </w:r>
    </w:p>
    <w:p>
      <w:pPr>
        <w:pStyle w:val="Default"/>
        <w:jc w:val="both"/>
        <w:rPr>
          <w:color w:val="FF0000"/>
        </w:rPr>
      </w:pPr>
      <w:r>
        <w:rPr>
          <w:b/>
          <w:bCs/>
        </w:rPr>
        <w:t xml:space="preserve">§ 13. </w:t>
      </w:r>
      <w:r>
        <w:rPr/>
        <w:t>Wykonanie uchwały powierza się Burmistrzowi Miasta i Gminy Niemczy.</w:t>
      </w:r>
    </w:p>
    <w:p>
      <w:pPr>
        <w:pStyle w:val="Default"/>
        <w:jc w:val="both"/>
        <w:rPr/>
      </w:pPr>
      <w:r>
        <w:rPr/>
      </w:r>
    </w:p>
    <w:p>
      <w:pPr>
        <w:pStyle w:val="Default"/>
        <w:ind w:left="360" w:hanging="360"/>
        <w:jc w:val="both"/>
        <w:rPr/>
      </w:pPr>
      <w:r>
        <w:rPr>
          <w:b/>
          <w:bCs/>
        </w:rPr>
        <w:t xml:space="preserve">§ 14. </w:t>
      </w:r>
      <w:r>
        <w:rPr/>
        <w:t>Uchwała wchodzi w życie po upływie 14 dni od dnia ogłoszenia w Dzienniku Urzędowym Województwa Dolnośląskiego.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1" w:header="709" w:top="1134" w:footer="709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40153821"/>
    </w:sdtPr>
    <w:sdtContent>
      <w:p>
        <w:pPr>
          <w:pStyle w:val="Stopka"/>
          <w:pBdr>
            <w:top w:val="single" w:sz="4" w:space="1" w:color="D9D9D9"/>
          </w:pBdr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  <w:r>
          <w:rPr/>
          <w:t xml:space="preserve"> </w:t>
        </w:r>
        <w:r>
          <w:rPr/>
          <w:t xml:space="preserve">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left w:val="single" w:sz="12" w:space="11" w:color="4472C4"/>
      </w:pBdr>
      <w:shd w:val="clear" w:color="auto" w:fill="DEEAF6" w:themeFill="accent5" w:themeFillTint="33"/>
      <w:tabs>
        <w:tab w:val="clear" w:pos="708"/>
        <w:tab w:val="left" w:pos="3620" w:leader="none"/>
        <w:tab w:val="left" w:pos="3964" w:leader="none"/>
      </w:tabs>
      <w:rPr>
        <w:rFonts w:ascii="Calibri Light" w:hAnsi="Calibri Light" w:eastAsia="" w:cs="" w:asciiTheme="majorHAnsi" w:cstheme="majorBidi" w:eastAsiaTheme="majorEastAsia" w:hAnsiTheme="majorHAnsi"/>
        <w:i/>
        <w:i/>
        <w:iCs/>
        <w:sz w:val="26"/>
        <w:szCs w:val="26"/>
      </w:rPr>
    </w:pPr>
    <w:r>
      <w:rPr>
        <w:rFonts w:eastAsia="" w:cs="" w:ascii="Calibri Light" w:hAnsi="Calibri Light" w:asciiTheme="majorHAnsi" w:cstheme="majorBidi" w:eastAsiaTheme="majorEastAsia" w:hAnsiTheme="majorHAnsi"/>
        <w:color w:val="2F5496" w:themeColor="accent1" w:themeShade="bf"/>
        <w:sz w:val="26"/>
        <w:szCs w:val="26"/>
      </w:rPr>
      <w:tab/>
    </w:r>
    <w:r>
      <w:rPr>
        <w:rFonts w:eastAsia="" w:cs="" w:ascii="Calibri Light" w:hAnsi="Calibri Light" w:asciiTheme="majorHAnsi" w:cstheme="majorBidi" w:eastAsiaTheme="majorEastAsia" w:hAnsiTheme="majorHAnsi"/>
        <w:i/>
        <w:iCs/>
        <w:sz w:val="26"/>
        <w:szCs w:val="26"/>
      </w:rPr>
      <w:t xml:space="preserve">                                                   PROJEKT MPZP – 10 lipca 2021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533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225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7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9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41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3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5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7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93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%1)"/>
      <w:lvlJc w:val="left"/>
      <w:pPr>
        <w:ind w:left="644" w:hanging="360"/>
      </w:pPr>
      <w:rPr>
        <w:sz w:val="24"/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lvl w:ilvl="0">
      <w:start w:val="4"/>
      <w:numFmt w:val="decimal"/>
      <w:lvlText w:val="%1."/>
      <w:lvlJc w:val="left"/>
      <w:pPr>
        <w:ind w:left="720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)"/>
      <w:lvlJc w:val="left"/>
      <w:pPr>
        <w:ind w:left="786" w:hanging="360"/>
      </w:pPr>
      <w:rPr>
        <w:sz w:val="24"/>
        <w:b/>
        <w:rFonts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)"/>
      <w:lvlJc w:val="left"/>
      <w:pPr>
        <w:ind w:left="28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effect w:val="none"/>
        <w:szCs w:val="24"/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21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307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113075"/>
    <w:rPr>
      <w:rFonts w:ascii="Calibri" w:hAnsi="Calibri" w:eastAsia="Calibri" w:cs="Times New Roman"/>
      <w:sz w:val="24"/>
      <w:szCs w:val="24"/>
    </w:rPr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1130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uiPriority w:val="99"/>
    <w:qFormat/>
    <w:rsid w:val="001130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uiPriority w:val="99"/>
    <w:semiHidden/>
    <w:qFormat/>
    <w:rsid w:val="00113075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130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1307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037a9d"/>
    <w:rPr>
      <w:rFonts w:ascii="Segoe UI" w:hAnsi="Segoe UI" w:eastAsia="Times New Roman" w:cs="Segoe UI"/>
      <w:sz w:val="18"/>
      <w:szCs w:val="18"/>
      <w:lang w:eastAsia="pl-PL"/>
    </w:rPr>
  </w:style>
  <w:style w:type="character" w:styleId="ListLabel1">
    <w:name w:val="ListLabel 1"/>
    <w:qFormat/>
    <w:rPr>
      <w:rFonts w:cs="Times New Roman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sz w:val="24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  <w:b/>
      <w:sz w:val="24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  <w:b/>
      <w:sz w:val="24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effect w:val="none"/>
      <w:vertAlign w:val="baseline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2">
    <w:name w:val="ListLabel 9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3">
    <w:name w:val="ListLabel 9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4">
    <w:name w:val="ListLabel 9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5">
    <w:name w:val="ListLabel 9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6">
    <w:name w:val="ListLabel 9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7">
    <w:name w:val="ListLabel 9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8">
    <w:name w:val="ListLabel 9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99">
    <w:name w:val="ListLabel 9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effect w:val="none"/>
      <w:vertAlign w:val="baseline"/>
    </w:rPr>
  </w:style>
  <w:style w:type="character" w:styleId="ListLabel100">
    <w:name w:val="ListLabel 100"/>
    <w:qFormat/>
    <w:rPr>
      <w:rFonts w:eastAsia="Times New Roman" w:cs="Times New Roman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113075"/>
    <w:pPr>
      <w:jc w:val="both"/>
    </w:pPr>
    <w:rPr>
      <w:rFonts w:ascii="Calibri" w:hAnsi="Calibri" w:eastAsia="Calibri"/>
      <w:lang w:eastAsia="en-US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a2">
    <w:name w:val="List Bullet 3"/>
    <w:basedOn w:val="Normal"/>
    <w:uiPriority w:val="99"/>
    <w:semiHidden/>
    <w:unhideWhenUsed/>
    <w:rsid w:val="00113075"/>
    <w:pPr>
      <w:spacing w:lineRule="auto" w:line="360"/>
      <w:ind w:left="566" w:hanging="283"/>
      <w:jc w:val="both"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113075"/>
    <w:pPr>
      <w:spacing w:before="0" w:after="120"/>
      <w:ind w:left="283" w:hanging="0"/>
    </w:pPr>
    <w:rPr/>
  </w:style>
  <w:style w:type="paragraph" w:styleId="BodyTextIndent2">
    <w:name w:val="Body Text Indent 2"/>
    <w:basedOn w:val="Normal"/>
    <w:link w:val="Tekstpodstawowywcity2Znak"/>
    <w:uiPriority w:val="99"/>
    <w:unhideWhenUsed/>
    <w:qFormat/>
    <w:rsid w:val="00113075"/>
    <w:pPr>
      <w:spacing w:lineRule="auto" w:line="480" w:before="0" w:after="120"/>
      <w:ind w:left="283" w:hanging="0"/>
    </w:pPr>
    <w:rPr/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113075"/>
    <w:pPr>
      <w:spacing w:before="0" w:after="120"/>
      <w:ind w:left="283" w:hanging="0"/>
    </w:pPr>
    <w:rPr>
      <w:sz w:val="16"/>
      <w:szCs w:val="16"/>
    </w:rPr>
  </w:style>
  <w:style w:type="paragraph" w:styleId="ListParagraph">
    <w:name w:val="List Paragraph"/>
    <w:basedOn w:val="Normal"/>
    <w:uiPriority w:val="99"/>
    <w:qFormat/>
    <w:rsid w:val="00113075"/>
    <w:pPr>
      <w:spacing w:before="0" w:after="110"/>
      <w:ind w:left="720" w:hanging="10"/>
      <w:contextualSpacing/>
      <w:jc w:val="both"/>
    </w:pPr>
    <w:rPr>
      <w:color w:val="000000"/>
      <w:sz w:val="22"/>
      <w:szCs w:val="22"/>
    </w:rPr>
  </w:style>
  <w:style w:type="paragraph" w:styleId="Default" w:customStyle="1">
    <w:name w:val="Default"/>
    <w:uiPriority w:val="99"/>
    <w:qFormat/>
    <w:rsid w:val="00113075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 w:val="pl-PL" w:bidi="ar-SA"/>
    </w:rPr>
  </w:style>
  <w:style w:type="paragraph" w:styleId="Gwka">
    <w:name w:val="Header"/>
    <w:basedOn w:val="Normal"/>
    <w:link w:val="NagwekZnak"/>
    <w:uiPriority w:val="99"/>
    <w:unhideWhenUsed/>
    <w:rsid w:val="0011307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1307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037a9d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Application>LibreOffice/6.2.2.2$Windows_x86 LibreOffice_project/2b840030fec2aae0fd2658d8d4f9548af4e3518d</Application>
  <Pages>5</Pages>
  <Words>1449</Words>
  <Characters>9208</Characters>
  <CharactersWithSpaces>10951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2021-03-04T10:38:00Z</dcterms:created>
  <dc:creator>Admin</dc:creator>
  <dc:description/>
  <dc:language>pl-PL</dc:language>
  <cp:lastModifiedBy>Admin</cp:lastModifiedBy>
  <cp:lastPrinted>2021-03-18T11:17:00Z</cp:lastPrinted>
  <dcterms:modified xsi:type="dcterms:W3CDTF">2021-07-06T08:47:00Z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